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188D" w14:textId="77777777" w:rsidR="00141F15" w:rsidRPr="004228E4" w:rsidRDefault="00C85B22" w:rsidP="00141F15">
      <w:pPr>
        <w:spacing w:before="120" w:after="120"/>
        <w:jc w:val="center"/>
        <w:rPr>
          <w:b/>
          <w:sz w:val="32"/>
          <w:szCs w:val="32"/>
        </w:rPr>
      </w:pPr>
      <w:r w:rsidRPr="004228E4">
        <w:rPr>
          <w:b/>
          <w:sz w:val="32"/>
          <w:szCs w:val="32"/>
        </w:rPr>
        <w:t>General Data Protection Regulation (GDPR)</w:t>
      </w:r>
    </w:p>
    <w:p w14:paraId="7B47A413" w14:textId="77777777" w:rsidR="00141F15" w:rsidRPr="004228E4" w:rsidRDefault="00141F15" w:rsidP="00141F15">
      <w:pPr>
        <w:pBdr>
          <w:top w:val="single" w:sz="4" w:space="1" w:color="auto"/>
        </w:pBdr>
        <w:spacing w:before="120" w:after="120"/>
        <w:jc w:val="center"/>
        <w:rPr>
          <w:b/>
          <w:sz w:val="22"/>
          <w:szCs w:val="22"/>
        </w:rPr>
      </w:pPr>
    </w:p>
    <w:p w14:paraId="066E585A" w14:textId="77777777" w:rsidR="00C85B22" w:rsidRPr="004228E4" w:rsidRDefault="00C85B22" w:rsidP="00141F15">
      <w:pPr>
        <w:spacing w:before="120" w:after="120"/>
        <w:jc w:val="center"/>
        <w:rPr>
          <w:b/>
          <w:sz w:val="28"/>
          <w:szCs w:val="28"/>
        </w:rPr>
      </w:pPr>
      <w:r w:rsidRPr="004228E4">
        <w:rPr>
          <w:b/>
          <w:sz w:val="28"/>
          <w:szCs w:val="28"/>
        </w:rPr>
        <w:t>Data Protection Principles</w:t>
      </w:r>
    </w:p>
    <w:p w14:paraId="52403A74" w14:textId="77777777" w:rsidR="00C85B22" w:rsidRPr="004228E4" w:rsidRDefault="00C85B22" w:rsidP="00141F15">
      <w:pPr>
        <w:spacing w:after="120" w:line="360" w:lineRule="auto"/>
        <w:ind w:left="0" w:firstLine="0"/>
        <w:contextualSpacing/>
        <w:jc w:val="center"/>
        <w:rPr>
          <w:b/>
          <w:sz w:val="28"/>
          <w:szCs w:val="28"/>
        </w:rPr>
      </w:pPr>
      <w:r w:rsidRPr="004228E4">
        <w:rPr>
          <w:b/>
          <w:sz w:val="28"/>
          <w:szCs w:val="28"/>
        </w:rPr>
        <w:t>Information That We Will Publish or Disclose</w:t>
      </w:r>
    </w:p>
    <w:p w14:paraId="050F521B" w14:textId="77777777" w:rsidR="00C85B22" w:rsidRPr="004228E4" w:rsidRDefault="00C85B22" w:rsidP="00141F15">
      <w:pPr>
        <w:spacing w:after="120" w:line="360" w:lineRule="auto"/>
        <w:ind w:left="0" w:firstLine="0"/>
        <w:contextualSpacing/>
        <w:jc w:val="center"/>
        <w:rPr>
          <w:b/>
          <w:sz w:val="28"/>
          <w:szCs w:val="28"/>
        </w:rPr>
      </w:pPr>
      <w:r w:rsidRPr="004228E4">
        <w:rPr>
          <w:b/>
          <w:sz w:val="28"/>
          <w:szCs w:val="28"/>
        </w:rPr>
        <w:t>Information for the Information Commissioner’s Office (ICO)</w:t>
      </w:r>
    </w:p>
    <w:p w14:paraId="37CD80BE" w14:textId="77777777" w:rsidR="00141F15" w:rsidRPr="004228E4" w:rsidRDefault="00C85B22" w:rsidP="00141F15">
      <w:pPr>
        <w:spacing w:after="120" w:line="360" w:lineRule="auto"/>
        <w:ind w:left="0" w:firstLine="0"/>
        <w:contextualSpacing/>
        <w:jc w:val="center"/>
        <w:rPr>
          <w:b/>
          <w:sz w:val="28"/>
          <w:szCs w:val="28"/>
        </w:rPr>
      </w:pPr>
      <w:r w:rsidRPr="004228E4">
        <w:rPr>
          <w:b/>
          <w:sz w:val="28"/>
          <w:szCs w:val="28"/>
        </w:rPr>
        <w:t>The Role of Data Protection Officers</w:t>
      </w:r>
    </w:p>
    <w:p w14:paraId="74FDCA88" w14:textId="77777777" w:rsidR="009570E2" w:rsidRPr="009570E2" w:rsidRDefault="009570E2" w:rsidP="00FF4E6C">
      <w:pPr>
        <w:spacing w:after="120"/>
        <w:jc w:val="center"/>
        <w:rPr>
          <w:b/>
          <w:bCs/>
          <w:iCs/>
        </w:rPr>
      </w:pPr>
      <w:r w:rsidRPr="009570E2">
        <w:rPr>
          <w:b/>
          <w:bCs/>
          <w:iCs/>
        </w:rPr>
        <w:t>Produced May 2018</w:t>
      </w:r>
    </w:p>
    <w:p w14:paraId="59674A30" w14:textId="27656B6C" w:rsidR="00FF4E6C" w:rsidRDefault="00FF4E6C" w:rsidP="00FF4E6C">
      <w:pPr>
        <w:pStyle w:val="Title"/>
        <w:spacing w:after="120"/>
        <w:rPr>
          <w:rFonts w:ascii="Calibri" w:hAnsi="Calibri"/>
          <w:lang w:val="en"/>
        </w:rPr>
      </w:pPr>
      <w:r>
        <w:rPr>
          <w:rFonts w:ascii="Calibri" w:hAnsi="Calibri"/>
          <w:lang w:val="en"/>
        </w:rPr>
        <w:t xml:space="preserve">Reviewed </w:t>
      </w:r>
      <w:r w:rsidR="00BD1677">
        <w:rPr>
          <w:rFonts w:ascii="Calibri" w:hAnsi="Calibri"/>
          <w:lang w:val="en"/>
        </w:rPr>
        <w:t>15</w:t>
      </w:r>
      <w:r>
        <w:rPr>
          <w:rFonts w:ascii="Calibri" w:hAnsi="Calibri"/>
          <w:vertAlign w:val="superscript"/>
          <w:lang w:val="en"/>
        </w:rPr>
        <w:t>th</w:t>
      </w:r>
      <w:r>
        <w:rPr>
          <w:rFonts w:ascii="Calibri" w:hAnsi="Calibri"/>
          <w:lang w:val="en"/>
        </w:rPr>
        <w:t xml:space="preserve"> May 202</w:t>
      </w:r>
      <w:r w:rsidR="00BD1677">
        <w:rPr>
          <w:rFonts w:ascii="Calibri" w:hAnsi="Calibri"/>
          <w:lang w:val="en"/>
        </w:rPr>
        <w:t>3</w:t>
      </w:r>
    </w:p>
    <w:p w14:paraId="23AC14A8" w14:textId="77777777" w:rsidR="00141F15" w:rsidRPr="004228E4" w:rsidRDefault="00141F15" w:rsidP="00141F15">
      <w:pPr>
        <w:spacing w:after="120" w:line="360" w:lineRule="auto"/>
        <w:ind w:left="0" w:firstLine="0"/>
        <w:contextualSpacing/>
        <w:jc w:val="center"/>
        <w:rPr>
          <w:b/>
          <w:sz w:val="22"/>
          <w:szCs w:val="22"/>
        </w:rPr>
      </w:pPr>
    </w:p>
    <w:p w14:paraId="1BA13AEA" w14:textId="77777777" w:rsidR="002B2F18" w:rsidRPr="004228E4" w:rsidRDefault="00666FEE" w:rsidP="00C85B22">
      <w:pPr>
        <w:pBdr>
          <w:top w:val="single" w:sz="4" w:space="1" w:color="auto"/>
          <w:left w:val="single" w:sz="4" w:space="4" w:color="auto"/>
          <w:bottom w:val="single" w:sz="4" w:space="1" w:color="auto"/>
          <w:right w:val="single" w:sz="4" w:space="4" w:color="auto"/>
        </w:pBdr>
        <w:shd w:val="clear" w:color="auto" w:fill="FFFFCC"/>
        <w:spacing w:after="120"/>
        <w:ind w:left="0" w:firstLine="0"/>
        <w:contextualSpacing/>
        <w:rPr>
          <w:b/>
        </w:rPr>
      </w:pPr>
      <w:r w:rsidRPr="004228E4">
        <w:rPr>
          <w:b/>
        </w:rPr>
        <w:t>DATA PROTECTION PRINCIPLES</w:t>
      </w:r>
    </w:p>
    <w:p w14:paraId="135DDA3C" w14:textId="77777777" w:rsidR="00AE2F74" w:rsidRPr="004228E4" w:rsidRDefault="00AE2F74" w:rsidP="00695EE1">
      <w:pPr>
        <w:spacing w:after="120"/>
        <w:ind w:left="0" w:firstLine="0"/>
        <w:contextualSpacing/>
        <w:rPr>
          <w:b/>
          <w:sz w:val="22"/>
          <w:szCs w:val="22"/>
        </w:rPr>
      </w:pPr>
    </w:p>
    <w:p w14:paraId="1289DE41" w14:textId="77777777" w:rsidR="002B2F18" w:rsidRPr="004228E4" w:rsidRDefault="002B2F18" w:rsidP="00695EE1">
      <w:pPr>
        <w:spacing w:after="120"/>
        <w:ind w:left="0" w:firstLine="0"/>
        <w:contextualSpacing/>
        <w:rPr>
          <w:sz w:val="22"/>
          <w:szCs w:val="22"/>
        </w:rPr>
      </w:pPr>
      <w:r w:rsidRPr="004228E4">
        <w:rPr>
          <w:sz w:val="22"/>
          <w:szCs w:val="22"/>
        </w:rPr>
        <w:t>Schedule 1 to the Data Protection Act lists the data protection principles in the following terms:</w:t>
      </w:r>
    </w:p>
    <w:p w14:paraId="4E202EC4" w14:textId="77777777" w:rsidR="002B2F18" w:rsidRPr="004228E4" w:rsidRDefault="002B2F18" w:rsidP="00695EE1">
      <w:pPr>
        <w:pStyle w:val="ListParagraph"/>
        <w:numPr>
          <w:ilvl w:val="0"/>
          <w:numId w:val="2"/>
        </w:numPr>
        <w:spacing w:after="120"/>
        <w:ind w:left="426" w:hanging="426"/>
        <w:rPr>
          <w:sz w:val="22"/>
          <w:szCs w:val="22"/>
        </w:rPr>
      </w:pPr>
      <w:r w:rsidRPr="004228E4">
        <w:rPr>
          <w:sz w:val="22"/>
          <w:szCs w:val="22"/>
        </w:rPr>
        <w:t>Personal data shall be processed fairly and lawfully and, in particular, shall not be processed unless</w:t>
      </w:r>
    </w:p>
    <w:p w14:paraId="43AEF629" w14:textId="77777777" w:rsidR="002B2F18" w:rsidRPr="004228E4" w:rsidRDefault="002B2F18" w:rsidP="00695EE1">
      <w:pPr>
        <w:pStyle w:val="ListParagraph"/>
        <w:spacing w:after="120"/>
        <w:ind w:left="426" w:firstLine="0"/>
        <w:rPr>
          <w:sz w:val="22"/>
          <w:szCs w:val="22"/>
        </w:rPr>
      </w:pPr>
      <w:r w:rsidRPr="004228E4">
        <w:rPr>
          <w:sz w:val="22"/>
          <w:szCs w:val="22"/>
        </w:rPr>
        <w:t>(a) at least one of the conditions in Schedule 2 is met, and</w:t>
      </w:r>
    </w:p>
    <w:p w14:paraId="2A265E62" w14:textId="77777777" w:rsidR="002B2F18" w:rsidRPr="004228E4" w:rsidRDefault="002B2F18" w:rsidP="00695EE1">
      <w:pPr>
        <w:pStyle w:val="ListParagraph"/>
        <w:spacing w:after="120"/>
        <w:ind w:left="426" w:firstLine="0"/>
        <w:rPr>
          <w:sz w:val="22"/>
          <w:szCs w:val="22"/>
        </w:rPr>
      </w:pPr>
      <w:r w:rsidRPr="004228E4">
        <w:rPr>
          <w:sz w:val="22"/>
          <w:szCs w:val="22"/>
        </w:rPr>
        <w:t>(b) in the case of sensitive personal data, at least one of the conditions in Schedule 3 is also met.</w:t>
      </w:r>
    </w:p>
    <w:p w14:paraId="1CFFA720" w14:textId="77777777" w:rsidR="008C6330" w:rsidRPr="004228E4" w:rsidRDefault="008C6330" w:rsidP="00695EE1">
      <w:pPr>
        <w:pStyle w:val="ListParagraph"/>
        <w:spacing w:after="120"/>
        <w:ind w:left="426" w:firstLine="0"/>
        <w:rPr>
          <w:sz w:val="22"/>
          <w:szCs w:val="22"/>
        </w:rPr>
      </w:pPr>
    </w:p>
    <w:p w14:paraId="16BB4215" w14:textId="77777777" w:rsidR="002B2F18" w:rsidRPr="004228E4" w:rsidRDefault="002B2F18" w:rsidP="00695EE1">
      <w:pPr>
        <w:pStyle w:val="ListParagraph"/>
        <w:numPr>
          <w:ilvl w:val="0"/>
          <w:numId w:val="2"/>
        </w:numPr>
        <w:spacing w:after="120"/>
        <w:ind w:left="426" w:hanging="426"/>
        <w:rPr>
          <w:sz w:val="22"/>
          <w:szCs w:val="22"/>
        </w:rPr>
      </w:pPr>
      <w:r w:rsidRPr="004228E4">
        <w:rPr>
          <w:sz w:val="22"/>
          <w:szCs w:val="22"/>
        </w:rPr>
        <w:t>Personal data shall be obtained only for one or more specified and lawful purposes, and shall not be further processed in any manner incompatible with that purpose or those purposes.</w:t>
      </w:r>
    </w:p>
    <w:p w14:paraId="28E2CFBC" w14:textId="77777777" w:rsidR="008C6330" w:rsidRPr="004228E4" w:rsidRDefault="008C6330" w:rsidP="00695EE1">
      <w:pPr>
        <w:pStyle w:val="ListParagraph"/>
        <w:spacing w:after="120"/>
        <w:ind w:left="426" w:firstLine="0"/>
        <w:rPr>
          <w:sz w:val="22"/>
          <w:szCs w:val="22"/>
        </w:rPr>
      </w:pPr>
    </w:p>
    <w:p w14:paraId="20482A4D" w14:textId="77777777" w:rsidR="008C6330" w:rsidRPr="004228E4" w:rsidRDefault="002B2F18" w:rsidP="00695EE1">
      <w:pPr>
        <w:pStyle w:val="ListParagraph"/>
        <w:numPr>
          <w:ilvl w:val="0"/>
          <w:numId w:val="2"/>
        </w:numPr>
        <w:spacing w:after="120"/>
        <w:ind w:left="426" w:hanging="426"/>
        <w:rPr>
          <w:sz w:val="22"/>
          <w:szCs w:val="22"/>
        </w:rPr>
      </w:pPr>
      <w:r w:rsidRPr="004228E4">
        <w:rPr>
          <w:sz w:val="22"/>
          <w:szCs w:val="22"/>
        </w:rPr>
        <w:t>Personal data shall be adequate, relevant and not excessive in relation to the purpose or purposes for which they are processed.</w:t>
      </w:r>
    </w:p>
    <w:p w14:paraId="0B8B9EFF" w14:textId="77777777" w:rsidR="008C6330" w:rsidRPr="004228E4" w:rsidRDefault="008C6330" w:rsidP="00695EE1">
      <w:pPr>
        <w:pStyle w:val="ListParagraph"/>
        <w:spacing w:after="120"/>
        <w:ind w:left="426" w:firstLine="0"/>
        <w:rPr>
          <w:sz w:val="22"/>
          <w:szCs w:val="22"/>
        </w:rPr>
      </w:pPr>
    </w:p>
    <w:p w14:paraId="065F5A02" w14:textId="77777777" w:rsidR="008C6330" w:rsidRPr="004228E4" w:rsidRDefault="002B2F18" w:rsidP="00695EE1">
      <w:pPr>
        <w:pStyle w:val="ListParagraph"/>
        <w:numPr>
          <w:ilvl w:val="0"/>
          <w:numId w:val="2"/>
        </w:numPr>
        <w:spacing w:after="120"/>
        <w:ind w:left="426" w:hanging="426"/>
        <w:rPr>
          <w:sz w:val="22"/>
          <w:szCs w:val="22"/>
        </w:rPr>
      </w:pPr>
      <w:r w:rsidRPr="004228E4">
        <w:rPr>
          <w:sz w:val="22"/>
          <w:szCs w:val="22"/>
        </w:rPr>
        <w:t>Personal data shall be accurate and, where necessary, kept up to date.</w:t>
      </w:r>
    </w:p>
    <w:p w14:paraId="130CA924" w14:textId="77777777" w:rsidR="008C6330" w:rsidRPr="004228E4" w:rsidRDefault="008C6330" w:rsidP="00695EE1">
      <w:pPr>
        <w:pStyle w:val="ListParagraph"/>
        <w:spacing w:after="120"/>
        <w:ind w:left="426" w:firstLine="0"/>
        <w:rPr>
          <w:sz w:val="22"/>
          <w:szCs w:val="22"/>
        </w:rPr>
      </w:pPr>
    </w:p>
    <w:p w14:paraId="67C17635" w14:textId="77777777" w:rsidR="008C6330" w:rsidRPr="004228E4" w:rsidRDefault="002B2F18" w:rsidP="00695EE1">
      <w:pPr>
        <w:pStyle w:val="ListParagraph"/>
        <w:numPr>
          <w:ilvl w:val="0"/>
          <w:numId w:val="2"/>
        </w:numPr>
        <w:spacing w:after="120"/>
        <w:ind w:left="426" w:hanging="426"/>
        <w:rPr>
          <w:sz w:val="22"/>
          <w:szCs w:val="22"/>
        </w:rPr>
      </w:pPr>
      <w:r w:rsidRPr="004228E4">
        <w:rPr>
          <w:sz w:val="22"/>
          <w:szCs w:val="22"/>
        </w:rPr>
        <w:t>Personal data processed for any purpose or purposes shall not be kept for longer than is necessary for that purpose or those purposes.</w:t>
      </w:r>
    </w:p>
    <w:p w14:paraId="03E0CEF0" w14:textId="77777777" w:rsidR="008C6330" w:rsidRPr="004228E4" w:rsidRDefault="008C6330" w:rsidP="00695EE1">
      <w:pPr>
        <w:pStyle w:val="ListParagraph"/>
        <w:spacing w:after="120"/>
        <w:ind w:left="426" w:firstLine="0"/>
        <w:rPr>
          <w:sz w:val="22"/>
          <w:szCs w:val="22"/>
        </w:rPr>
      </w:pPr>
    </w:p>
    <w:p w14:paraId="626F6E14" w14:textId="77777777" w:rsidR="008C6330" w:rsidRPr="004228E4" w:rsidRDefault="002B2F18" w:rsidP="00695EE1">
      <w:pPr>
        <w:pStyle w:val="ListParagraph"/>
        <w:numPr>
          <w:ilvl w:val="0"/>
          <w:numId w:val="2"/>
        </w:numPr>
        <w:spacing w:after="120"/>
        <w:ind w:left="426" w:hanging="426"/>
        <w:rPr>
          <w:sz w:val="22"/>
          <w:szCs w:val="22"/>
        </w:rPr>
      </w:pPr>
      <w:r w:rsidRPr="004228E4">
        <w:rPr>
          <w:sz w:val="22"/>
          <w:szCs w:val="22"/>
        </w:rPr>
        <w:t>Personal data shall be processed in accordance with the rights of data subjects under this Act.</w:t>
      </w:r>
    </w:p>
    <w:p w14:paraId="67DEEB80" w14:textId="77777777" w:rsidR="008C6330" w:rsidRPr="004228E4" w:rsidRDefault="008C6330" w:rsidP="00695EE1">
      <w:pPr>
        <w:pStyle w:val="ListParagraph"/>
        <w:spacing w:after="120"/>
        <w:ind w:left="426" w:firstLine="0"/>
        <w:rPr>
          <w:sz w:val="22"/>
          <w:szCs w:val="22"/>
        </w:rPr>
      </w:pPr>
    </w:p>
    <w:p w14:paraId="6DFD7F77" w14:textId="77777777" w:rsidR="008C6330" w:rsidRPr="004228E4" w:rsidRDefault="002B2F18" w:rsidP="00695EE1">
      <w:pPr>
        <w:pStyle w:val="ListParagraph"/>
        <w:numPr>
          <w:ilvl w:val="0"/>
          <w:numId w:val="2"/>
        </w:numPr>
        <w:spacing w:after="120"/>
        <w:ind w:left="426" w:hanging="426"/>
        <w:rPr>
          <w:sz w:val="22"/>
          <w:szCs w:val="22"/>
        </w:rPr>
      </w:pPr>
      <w:r w:rsidRPr="004228E4">
        <w:rPr>
          <w:sz w:val="22"/>
          <w:szCs w:val="22"/>
        </w:rPr>
        <w:t>Appropriate technical and organisational measures shall be taken against unauthorised or unlawful processing of personal data and against accidental loss or destruction of, or damage to, personal data.</w:t>
      </w:r>
    </w:p>
    <w:p w14:paraId="310FDCA3" w14:textId="77777777" w:rsidR="008C6330" w:rsidRPr="004228E4" w:rsidRDefault="008C6330" w:rsidP="00695EE1">
      <w:pPr>
        <w:pStyle w:val="ListParagraph"/>
        <w:spacing w:after="120"/>
        <w:ind w:left="426" w:firstLine="0"/>
        <w:rPr>
          <w:sz w:val="22"/>
          <w:szCs w:val="22"/>
        </w:rPr>
      </w:pPr>
    </w:p>
    <w:p w14:paraId="48901BFA" w14:textId="77777777" w:rsidR="002B2F18" w:rsidRPr="004228E4" w:rsidRDefault="002B2F18" w:rsidP="00695EE1">
      <w:pPr>
        <w:pStyle w:val="ListParagraph"/>
        <w:numPr>
          <w:ilvl w:val="0"/>
          <w:numId w:val="2"/>
        </w:numPr>
        <w:spacing w:after="120"/>
        <w:ind w:left="426" w:hanging="426"/>
        <w:rPr>
          <w:sz w:val="22"/>
          <w:szCs w:val="22"/>
        </w:rPr>
      </w:pPr>
      <w:r w:rsidRPr="004228E4">
        <w:rPr>
          <w:sz w:val="22"/>
          <w:szCs w:val="22"/>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14:paraId="5B8E1997" w14:textId="77777777" w:rsidR="00695EE1" w:rsidRPr="004228E4" w:rsidRDefault="00695EE1" w:rsidP="00695EE1">
      <w:pPr>
        <w:pStyle w:val="ListParagraph"/>
        <w:spacing w:after="120"/>
        <w:rPr>
          <w:sz w:val="22"/>
          <w:szCs w:val="22"/>
        </w:rPr>
      </w:pPr>
    </w:p>
    <w:p w14:paraId="7578928A" w14:textId="77777777" w:rsidR="00695EE1" w:rsidRPr="004228E4" w:rsidRDefault="00695EE1" w:rsidP="00695EE1">
      <w:pPr>
        <w:pBdr>
          <w:top w:val="single" w:sz="4" w:space="1" w:color="auto"/>
        </w:pBdr>
        <w:spacing w:after="120"/>
        <w:rPr>
          <w:sz w:val="22"/>
          <w:szCs w:val="22"/>
        </w:rPr>
      </w:pPr>
    </w:p>
    <w:p w14:paraId="2D9AAC6C" w14:textId="77777777" w:rsidR="00695EE1" w:rsidRPr="004228E4" w:rsidRDefault="00695EE1" w:rsidP="00695EE1">
      <w:pPr>
        <w:pBdr>
          <w:top w:val="single" w:sz="4" w:space="1" w:color="auto"/>
          <w:left w:val="single" w:sz="4" w:space="4" w:color="auto"/>
          <w:bottom w:val="single" w:sz="4" w:space="1" w:color="auto"/>
          <w:right w:val="single" w:sz="4" w:space="4" w:color="auto"/>
        </w:pBdr>
        <w:shd w:val="clear" w:color="auto" w:fill="FFFFCC"/>
        <w:spacing w:after="120"/>
        <w:rPr>
          <w:b/>
        </w:rPr>
      </w:pPr>
      <w:r w:rsidRPr="004228E4">
        <w:rPr>
          <w:b/>
        </w:rPr>
        <w:t>INFORMATION THAT WE WILL PUBLISH OR DISCLOSE</w:t>
      </w:r>
      <w:bookmarkStart w:id="0" w:name="Back"/>
    </w:p>
    <w:p w14:paraId="21D5817B" w14:textId="77777777" w:rsidR="00695EE1" w:rsidRPr="004228E4" w:rsidRDefault="00695EE1" w:rsidP="00695EE1">
      <w:pPr>
        <w:spacing w:after="120"/>
        <w:ind w:left="0" w:firstLine="0"/>
        <w:rPr>
          <w:rFonts w:eastAsia="Times New Roman"/>
          <w:b/>
          <w:bCs/>
          <w:sz w:val="4"/>
          <w:szCs w:val="16"/>
        </w:rPr>
      </w:pPr>
    </w:p>
    <w:p w14:paraId="16D501C9"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Organisation type</w:t>
      </w:r>
    </w:p>
    <w:p w14:paraId="04B2350B"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Public body</w:t>
      </w:r>
    </w:p>
    <w:p w14:paraId="43A9A33D" w14:textId="77777777" w:rsidR="00695EE1" w:rsidRPr="004228E4" w:rsidRDefault="00695EE1" w:rsidP="00695EE1">
      <w:pPr>
        <w:spacing w:after="120"/>
        <w:ind w:left="0" w:firstLine="0"/>
        <w:rPr>
          <w:rFonts w:eastAsia="Times New Roman"/>
          <w:sz w:val="4"/>
          <w:szCs w:val="16"/>
        </w:rPr>
      </w:pPr>
    </w:p>
    <w:p w14:paraId="5DE8367F"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Organisation name</w:t>
      </w:r>
    </w:p>
    <w:p w14:paraId="307F9016" w14:textId="6CBAE702" w:rsidR="00695EE1" w:rsidRDefault="00DD5958" w:rsidP="00695EE1">
      <w:pPr>
        <w:spacing w:after="120"/>
        <w:ind w:left="0" w:firstLine="0"/>
        <w:rPr>
          <w:rFonts w:eastAsia="Times New Roman"/>
          <w:sz w:val="22"/>
          <w:szCs w:val="22"/>
        </w:rPr>
      </w:pPr>
      <w:r>
        <w:rPr>
          <w:rFonts w:eastAsia="Times New Roman"/>
          <w:sz w:val="22"/>
          <w:szCs w:val="22"/>
        </w:rPr>
        <w:t>Downham West</w:t>
      </w:r>
      <w:r w:rsidR="00695EE1" w:rsidRPr="00757955">
        <w:rPr>
          <w:rFonts w:eastAsia="Times New Roman"/>
          <w:sz w:val="22"/>
          <w:szCs w:val="22"/>
        </w:rPr>
        <w:t xml:space="preserve"> Parish Council</w:t>
      </w:r>
    </w:p>
    <w:p w14:paraId="593D36A7" w14:textId="77777777" w:rsidR="009570E2" w:rsidRPr="00757955" w:rsidRDefault="009570E2" w:rsidP="00695EE1">
      <w:pPr>
        <w:spacing w:after="120"/>
        <w:ind w:left="0" w:firstLine="0"/>
        <w:rPr>
          <w:rFonts w:eastAsia="Times New Roman"/>
          <w:sz w:val="22"/>
          <w:szCs w:val="22"/>
        </w:rPr>
      </w:pPr>
    </w:p>
    <w:p w14:paraId="28C76FB0" w14:textId="77777777" w:rsidR="00695EE1" w:rsidRPr="00757955" w:rsidRDefault="00695EE1" w:rsidP="00695EE1">
      <w:pPr>
        <w:spacing w:after="120"/>
        <w:ind w:left="0" w:firstLine="0"/>
        <w:rPr>
          <w:rFonts w:eastAsia="Times New Roman"/>
          <w:sz w:val="4"/>
          <w:szCs w:val="16"/>
        </w:rPr>
      </w:pPr>
    </w:p>
    <w:p w14:paraId="061488A9" w14:textId="77777777" w:rsidR="00695EE1" w:rsidRPr="00757955" w:rsidRDefault="00695EE1" w:rsidP="00695EE1">
      <w:pPr>
        <w:spacing w:after="120"/>
        <w:ind w:left="0" w:firstLine="0"/>
        <w:rPr>
          <w:rFonts w:eastAsia="Times New Roman"/>
          <w:b/>
          <w:bCs/>
          <w:sz w:val="22"/>
          <w:szCs w:val="22"/>
        </w:rPr>
      </w:pPr>
      <w:r w:rsidRPr="00757955">
        <w:rPr>
          <w:rFonts w:eastAsia="Times New Roman"/>
          <w:b/>
          <w:bCs/>
          <w:sz w:val="22"/>
          <w:szCs w:val="22"/>
        </w:rPr>
        <w:lastRenderedPageBreak/>
        <w:t>Organisation address</w:t>
      </w:r>
    </w:p>
    <w:p w14:paraId="5CCB6714" w14:textId="77777777" w:rsidR="00695EE1" w:rsidRPr="00757955" w:rsidRDefault="00695EE1" w:rsidP="00695EE1">
      <w:pPr>
        <w:spacing w:after="120"/>
        <w:ind w:left="0" w:firstLine="0"/>
        <w:rPr>
          <w:rFonts w:eastAsia="Times New Roman"/>
          <w:sz w:val="22"/>
          <w:szCs w:val="22"/>
        </w:rPr>
      </w:pPr>
      <w:r w:rsidRPr="00757955">
        <w:rPr>
          <w:rFonts w:eastAsia="Times New Roman"/>
          <w:sz w:val="22"/>
          <w:szCs w:val="22"/>
        </w:rPr>
        <w:t>The Old School House, High Street, Stoke Ferry, King's Lynn, Norfolk, PE33 9SF, UNITED KINGDOM</w:t>
      </w:r>
    </w:p>
    <w:p w14:paraId="023E4023" w14:textId="77777777" w:rsidR="00695EE1" w:rsidRPr="00757955" w:rsidRDefault="00695EE1" w:rsidP="00695EE1">
      <w:pPr>
        <w:spacing w:after="120"/>
        <w:ind w:left="0" w:firstLine="0"/>
        <w:rPr>
          <w:rFonts w:eastAsia="Times New Roman"/>
          <w:sz w:val="4"/>
          <w:szCs w:val="16"/>
        </w:rPr>
      </w:pPr>
    </w:p>
    <w:p w14:paraId="292F3856" w14:textId="77777777" w:rsidR="00695EE1" w:rsidRPr="00757955" w:rsidRDefault="00695EE1" w:rsidP="00695EE1">
      <w:pPr>
        <w:spacing w:after="120"/>
        <w:ind w:left="0" w:firstLine="0"/>
        <w:rPr>
          <w:rFonts w:eastAsia="Times New Roman"/>
          <w:b/>
          <w:bCs/>
          <w:sz w:val="22"/>
          <w:szCs w:val="22"/>
        </w:rPr>
      </w:pPr>
      <w:r w:rsidRPr="00757955">
        <w:rPr>
          <w:rFonts w:eastAsia="Times New Roman"/>
          <w:b/>
          <w:bCs/>
          <w:sz w:val="22"/>
          <w:szCs w:val="22"/>
        </w:rPr>
        <w:t>Customer enquiries contact details</w:t>
      </w:r>
    </w:p>
    <w:p w14:paraId="139108E0" w14:textId="77777777" w:rsidR="00695EE1" w:rsidRPr="00757955" w:rsidRDefault="004228E4" w:rsidP="00695EE1">
      <w:pPr>
        <w:spacing w:after="120"/>
        <w:ind w:left="0" w:firstLine="0"/>
        <w:rPr>
          <w:rFonts w:eastAsia="Times New Roman"/>
          <w:sz w:val="22"/>
          <w:szCs w:val="22"/>
        </w:rPr>
      </w:pPr>
      <w:r w:rsidRPr="00757955">
        <w:rPr>
          <w:rFonts w:eastAsia="Times New Roman"/>
          <w:sz w:val="22"/>
          <w:szCs w:val="22"/>
        </w:rPr>
        <w:t xml:space="preserve">Sara Porter, </w:t>
      </w:r>
      <w:r w:rsidR="00695EE1" w:rsidRPr="00757955">
        <w:rPr>
          <w:rFonts w:eastAsia="Times New Roman"/>
          <w:sz w:val="22"/>
          <w:szCs w:val="22"/>
        </w:rPr>
        <w:t>Parish Clerk, The Old School House, High Street, Stoke Ferry, King's Lynn, Norfolk, PE33 9SF, UNITED KINGDOM</w:t>
      </w:r>
      <w:r w:rsidRPr="00757955">
        <w:rPr>
          <w:rFonts w:eastAsia="Times New Roman"/>
          <w:sz w:val="22"/>
          <w:szCs w:val="22"/>
        </w:rPr>
        <w:t xml:space="preserve">, </w:t>
      </w:r>
      <w:r w:rsidR="00DD5958">
        <w:rPr>
          <w:rFonts w:eastAsia="Times New Roman"/>
          <w:sz w:val="22"/>
          <w:szCs w:val="22"/>
        </w:rPr>
        <w:t>dwpc01</w:t>
      </w:r>
      <w:r w:rsidR="00757955" w:rsidRPr="00757955">
        <w:rPr>
          <w:rFonts w:eastAsia="Times New Roman"/>
          <w:sz w:val="22"/>
          <w:szCs w:val="22"/>
        </w:rPr>
        <w:t>@gmail.com</w:t>
      </w:r>
    </w:p>
    <w:p w14:paraId="3E0E2462" w14:textId="77777777" w:rsidR="00695EE1" w:rsidRPr="00757955" w:rsidRDefault="00695EE1" w:rsidP="00695EE1">
      <w:pPr>
        <w:spacing w:after="120"/>
        <w:ind w:left="0" w:firstLine="0"/>
        <w:rPr>
          <w:rFonts w:eastAsia="Times New Roman"/>
          <w:sz w:val="4"/>
          <w:szCs w:val="16"/>
        </w:rPr>
      </w:pPr>
    </w:p>
    <w:p w14:paraId="3F96A77B" w14:textId="77777777" w:rsidR="00695EE1" w:rsidRPr="004228E4" w:rsidRDefault="00695EE1" w:rsidP="00695EE1">
      <w:pPr>
        <w:spacing w:after="120"/>
        <w:ind w:left="0" w:firstLine="0"/>
        <w:rPr>
          <w:rFonts w:eastAsia="Times New Roman"/>
          <w:b/>
          <w:bCs/>
          <w:sz w:val="22"/>
          <w:szCs w:val="22"/>
        </w:rPr>
      </w:pPr>
      <w:r w:rsidRPr="00757955">
        <w:rPr>
          <w:rFonts w:eastAsia="Times New Roman"/>
          <w:b/>
          <w:bCs/>
          <w:sz w:val="22"/>
          <w:szCs w:val="22"/>
        </w:rPr>
        <w:t>Sector</w:t>
      </w:r>
    </w:p>
    <w:p w14:paraId="11A3F865"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Local Government</w:t>
      </w:r>
    </w:p>
    <w:p w14:paraId="5A7D04F2" w14:textId="77777777" w:rsidR="00695EE1" w:rsidRPr="004228E4" w:rsidRDefault="00695EE1" w:rsidP="00695EE1">
      <w:pPr>
        <w:spacing w:after="120"/>
        <w:ind w:left="0" w:firstLine="0"/>
        <w:rPr>
          <w:rFonts w:eastAsia="Times New Roman"/>
          <w:sz w:val="4"/>
          <w:szCs w:val="22"/>
        </w:rPr>
      </w:pPr>
    </w:p>
    <w:p w14:paraId="093391FB"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Nature of work</w:t>
      </w:r>
    </w:p>
    <w:p w14:paraId="1A740A66"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Parish &amp; Community Council</w:t>
      </w:r>
    </w:p>
    <w:p w14:paraId="70BFB814" w14:textId="77777777" w:rsidR="00695EE1" w:rsidRPr="004228E4" w:rsidRDefault="00695EE1" w:rsidP="00695EE1">
      <w:pPr>
        <w:spacing w:after="120"/>
        <w:ind w:left="0" w:firstLine="0"/>
        <w:rPr>
          <w:rFonts w:eastAsia="Times New Roman"/>
          <w:sz w:val="4"/>
          <w:szCs w:val="16"/>
        </w:rPr>
      </w:pPr>
    </w:p>
    <w:p w14:paraId="0605CCFB"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Are you a public authority?</w:t>
      </w:r>
    </w:p>
    <w:p w14:paraId="27957A73"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Yes</w:t>
      </w:r>
    </w:p>
    <w:p w14:paraId="2C874946" w14:textId="77777777" w:rsidR="00695EE1" w:rsidRPr="004228E4" w:rsidRDefault="00695EE1" w:rsidP="00695EE1">
      <w:pPr>
        <w:spacing w:after="120"/>
        <w:ind w:left="0" w:firstLine="0"/>
        <w:rPr>
          <w:rFonts w:eastAsia="Times New Roman"/>
          <w:sz w:val="4"/>
          <w:szCs w:val="16"/>
        </w:rPr>
      </w:pPr>
    </w:p>
    <w:p w14:paraId="5D12BE72"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Is your organisation a charity or have exempt charitable status?</w:t>
      </w:r>
    </w:p>
    <w:p w14:paraId="33210836"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No</w:t>
      </w:r>
    </w:p>
    <w:p w14:paraId="1544CF92" w14:textId="77777777" w:rsidR="00695EE1" w:rsidRPr="004228E4" w:rsidRDefault="00695EE1" w:rsidP="00695EE1">
      <w:pPr>
        <w:spacing w:after="120"/>
        <w:ind w:left="0" w:firstLine="0"/>
        <w:rPr>
          <w:rFonts w:eastAsia="Times New Roman"/>
          <w:sz w:val="4"/>
          <w:szCs w:val="16"/>
        </w:rPr>
      </w:pPr>
    </w:p>
    <w:p w14:paraId="0BDBC040"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Does your organisation have more than 249 staff?</w:t>
      </w:r>
    </w:p>
    <w:p w14:paraId="086B112C"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No</w:t>
      </w:r>
    </w:p>
    <w:p w14:paraId="0E7E8820" w14:textId="77777777" w:rsidR="00695EE1" w:rsidRPr="004228E4" w:rsidRDefault="00695EE1" w:rsidP="00695EE1">
      <w:pPr>
        <w:spacing w:after="120"/>
        <w:ind w:left="0" w:firstLine="0"/>
        <w:rPr>
          <w:rFonts w:eastAsia="Times New Roman"/>
          <w:sz w:val="4"/>
          <w:szCs w:val="16"/>
        </w:rPr>
      </w:pPr>
    </w:p>
    <w:p w14:paraId="2738DD83"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Details about the information you process</w:t>
      </w:r>
    </w:p>
    <w:p w14:paraId="4B96B2AC"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Nature of work - Provision of council services</w:t>
      </w:r>
    </w:p>
    <w:p w14:paraId="6F514048" w14:textId="77777777" w:rsidR="00695EE1" w:rsidRPr="004228E4" w:rsidRDefault="00695EE1" w:rsidP="00695EE1">
      <w:pPr>
        <w:spacing w:after="120"/>
        <w:ind w:left="0" w:firstLine="0"/>
        <w:rPr>
          <w:rFonts w:eastAsia="Times New Roman"/>
          <w:sz w:val="4"/>
          <w:szCs w:val="16"/>
        </w:rPr>
      </w:pPr>
    </w:p>
    <w:p w14:paraId="1B1BF528" w14:textId="77777777" w:rsidR="00695EE1" w:rsidRPr="004228E4" w:rsidRDefault="00695EE1" w:rsidP="00695EE1">
      <w:pPr>
        <w:spacing w:after="120"/>
        <w:ind w:left="0" w:firstLine="0"/>
        <w:rPr>
          <w:rFonts w:eastAsia="Times New Roman"/>
          <w:b/>
          <w:sz w:val="22"/>
          <w:szCs w:val="22"/>
        </w:rPr>
      </w:pPr>
      <w:r w:rsidRPr="004228E4">
        <w:rPr>
          <w:rFonts w:eastAsia="Times New Roman"/>
          <w:b/>
          <w:sz w:val="22"/>
          <w:szCs w:val="22"/>
        </w:rPr>
        <w:t>Description of processing</w:t>
      </w:r>
    </w:p>
    <w:p w14:paraId="1A98C1B2"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The following is a broad description of the way this organisation/data controller processes personal information. To understand how your own personal information is processed you may need to refer to any personal communications you have received, check any privacy notices the organisation has provided or contact the organisation to ask about your personal circumstances.</w:t>
      </w:r>
    </w:p>
    <w:p w14:paraId="714B8C0C" w14:textId="77777777" w:rsidR="00695EE1" w:rsidRPr="004228E4" w:rsidRDefault="00695EE1" w:rsidP="00695EE1">
      <w:pPr>
        <w:spacing w:after="120"/>
        <w:ind w:left="0" w:firstLine="0"/>
        <w:rPr>
          <w:rFonts w:eastAsia="Times New Roman"/>
          <w:sz w:val="4"/>
          <w:szCs w:val="16"/>
        </w:rPr>
      </w:pPr>
    </w:p>
    <w:p w14:paraId="7A48A603" w14:textId="77777777" w:rsidR="00695EE1" w:rsidRPr="004228E4" w:rsidRDefault="00695EE1" w:rsidP="00695EE1">
      <w:pPr>
        <w:spacing w:after="120"/>
        <w:ind w:left="0" w:firstLine="0"/>
        <w:rPr>
          <w:rFonts w:eastAsia="Times New Roman"/>
          <w:b/>
          <w:sz w:val="22"/>
          <w:szCs w:val="22"/>
        </w:rPr>
      </w:pPr>
      <w:r w:rsidRPr="004228E4">
        <w:rPr>
          <w:rFonts w:eastAsia="Times New Roman"/>
          <w:b/>
          <w:sz w:val="22"/>
          <w:szCs w:val="22"/>
        </w:rPr>
        <w:t>Reasons/purposes for processing information</w:t>
      </w:r>
    </w:p>
    <w:p w14:paraId="5015B275"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We process personal information to enable us to carry out our statutory duties. We also process personal information to promote our services; undertake fundraising; maintain our accounts and records; manage and support our employees.</w:t>
      </w:r>
    </w:p>
    <w:p w14:paraId="6B6C0599" w14:textId="77777777" w:rsidR="00695EE1" w:rsidRPr="004228E4" w:rsidRDefault="00695EE1" w:rsidP="00695EE1">
      <w:pPr>
        <w:spacing w:after="120"/>
        <w:ind w:left="0" w:firstLine="0"/>
        <w:rPr>
          <w:rFonts w:eastAsia="Times New Roman"/>
          <w:sz w:val="4"/>
          <w:szCs w:val="16"/>
        </w:rPr>
      </w:pPr>
    </w:p>
    <w:p w14:paraId="2A1FA948" w14:textId="77777777" w:rsidR="00695EE1" w:rsidRPr="004228E4" w:rsidRDefault="00695EE1" w:rsidP="00695EE1">
      <w:pPr>
        <w:spacing w:after="120"/>
        <w:ind w:left="0" w:firstLine="0"/>
        <w:rPr>
          <w:rFonts w:eastAsia="Times New Roman"/>
          <w:b/>
          <w:sz w:val="22"/>
          <w:szCs w:val="22"/>
        </w:rPr>
      </w:pPr>
      <w:r w:rsidRPr="004228E4">
        <w:rPr>
          <w:rFonts w:eastAsia="Times New Roman"/>
          <w:b/>
          <w:sz w:val="22"/>
          <w:szCs w:val="22"/>
        </w:rPr>
        <w:t>Type/classes of information processed</w:t>
      </w:r>
    </w:p>
    <w:p w14:paraId="1BADFBCF"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We process information relevant to the above reasons/purposes. This may include:</w:t>
      </w:r>
    </w:p>
    <w:p w14:paraId="7CA20711" w14:textId="77777777" w:rsidR="00695EE1" w:rsidRPr="004228E4" w:rsidRDefault="00695EE1" w:rsidP="00695EE1">
      <w:pPr>
        <w:numPr>
          <w:ilvl w:val="0"/>
          <w:numId w:val="3"/>
        </w:numPr>
        <w:spacing w:after="120"/>
        <w:ind w:left="0" w:firstLine="0"/>
        <w:rPr>
          <w:rFonts w:eastAsia="Times New Roman"/>
          <w:sz w:val="22"/>
          <w:szCs w:val="22"/>
        </w:rPr>
      </w:pPr>
      <w:r w:rsidRPr="004228E4">
        <w:rPr>
          <w:rFonts w:eastAsia="Times New Roman"/>
          <w:sz w:val="22"/>
          <w:szCs w:val="22"/>
        </w:rPr>
        <w:t>personal details</w:t>
      </w:r>
    </w:p>
    <w:p w14:paraId="6EF61354" w14:textId="77777777" w:rsidR="00695EE1" w:rsidRPr="004228E4" w:rsidRDefault="00695EE1" w:rsidP="00695EE1">
      <w:pPr>
        <w:numPr>
          <w:ilvl w:val="0"/>
          <w:numId w:val="3"/>
        </w:numPr>
        <w:spacing w:after="120"/>
        <w:ind w:left="0" w:firstLine="0"/>
        <w:rPr>
          <w:rFonts w:eastAsia="Times New Roman"/>
          <w:sz w:val="22"/>
          <w:szCs w:val="22"/>
        </w:rPr>
      </w:pPr>
      <w:r w:rsidRPr="004228E4">
        <w:rPr>
          <w:rFonts w:eastAsia="Times New Roman"/>
          <w:sz w:val="22"/>
          <w:szCs w:val="22"/>
        </w:rPr>
        <w:t>family details</w:t>
      </w:r>
    </w:p>
    <w:p w14:paraId="71507CF7" w14:textId="77777777" w:rsidR="00695EE1" w:rsidRPr="004228E4" w:rsidRDefault="00695EE1" w:rsidP="00695EE1">
      <w:pPr>
        <w:numPr>
          <w:ilvl w:val="0"/>
          <w:numId w:val="3"/>
        </w:numPr>
        <w:spacing w:after="120"/>
        <w:ind w:left="0" w:firstLine="0"/>
        <w:rPr>
          <w:rFonts w:eastAsia="Times New Roman"/>
          <w:sz w:val="22"/>
          <w:szCs w:val="22"/>
        </w:rPr>
      </w:pPr>
      <w:r w:rsidRPr="004228E4">
        <w:rPr>
          <w:rFonts w:eastAsia="Times New Roman"/>
          <w:sz w:val="22"/>
          <w:szCs w:val="22"/>
        </w:rPr>
        <w:t>lifestyle and social circumstances</w:t>
      </w:r>
    </w:p>
    <w:p w14:paraId="37D70EE2" w14:textId="77777777" w:rsidR="00695EE1" w:rsidRPr="004228E4" w:rsidRDefault="00695EE1" w:rsidP="00695EE1">
      <w:pPr>
        <w:numPr>
          <w:ilvl w:val="0"/>
          <w:numId w:val="3"/>
        </w:numPr>
        <w:spacing w:after="120"/>
        <w:ind w:left="0" w:firstLine="0"/>
        <w:rPr>
          <w:rFonts w:eastAsia="Times New Roman"/>
          <w:sz w:val="22"/>
          <w:szCs w:val="22"/>
        </w:rPr>
      </w:pPr>
      <w:r w:rsidRPr="004228E4">
        <w:rPr>
          <w:rFonts w:eastAsia="Times New Roman"/>
          <w:sz w:val="22"/>
          <w:szCs w:val="22"/>
        </w:rPr>
        <w:t>education and employment details</w:t>
      </w:r>
    </w:p>
    <w:p w14:paraId="5062D762" w14:textId="77777777" w:rsidR="00695EE1" w:rsidRPr="004228E4" w:rsidRDefault="00695EE1" w:rsidP="00695EE1">
      <w:pPr>
        <w:numPr>
          <w:ilvl w:val="0"/>
          <w:numId w:val="3"/>
        </w:numPr>
        <w:spacing w:after="120"/>
        <w:ind w:left="0" w:firstLine="0"/>
        <w:rPr>
          <w:rFonts w:eastAsia="Times New Roman"/>
          <w:sz w:val="22"/>
          <w:szCs w:val="22"/>
        </w:rPr>
      </w:pPr>
      <w:r w:rsidRPr="004228E4">
        <w:rPr>
          <w:rFonts w:eastAsia="Times New Roman"/>
          <w:sz w:val="22"/>
          <w:szCs w:val="22"/>
        </w:rPr>
        <w:t>financial details</w:t>
      </w:r>
    </w:p>
    <w:p w14:paraId="7AED97ED" w14:textId="77777777" w:rsidR="00695EE1" w:rsidRPr="004228E4" w:rsidRDefault="00695EE1" w:rsidP="00695EE1">
      <w:pPr>
        <w:numPr>
          <w:ilvl w:val="0"/>
          <w:numId w:val="3"/>
        </w:numPr>
        <w:spacing w:after="120"/>
        <w:ind w:left="0" w:firstLine="0"/>
        <w:rPr>
          <w:rFonts w:eastAsia="Times New Roman"/>
          <w:sz w:val="22"/>
          <w:szCs w:val="22"/>
        </w:rPr>
      </w:pPr>
      <w:r w:rsidRPr="004228E4">
        <w:rPr>
          <w:rFonts w:eastAsia="Times New Roman"/>
          <w:sz w:val="22"/>
          <w:szCs w:val="22"/>
        </w:rPr>
        <w:t>goods and services</w:t>
      </w:r>
    </w:p>
    <w:p w14:paraId="07EA4A53" w14:textId="77777777" w:rsidR="00695EE1" w:rsidRPr="004228E4" w:rsidRDefault="00695EE1" w:rsidP="00695EE1">
      <w:pPr>
        <w:spacing w:after="120"/>
        <w:ind w:left="0" w:firstLine="0"/>
        <w:rPr>
          <w:rFonts w:eastAsia="Times New Roman"/>
          <w:sz w:val="4"/>
          <w:szCs w:val="16"/>
        </w:rPr>
      </w:pPr>
    </w:p>
    <w:p w14:paraId="423202EE"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We also process sensitive classes of information that may include: physical or mental health details; racial or ethnic origin.</w:t>
      </w:r>
    </w:p>
    <w:p w14:paraId="13A747D2" w14:textId="77777777" w:rsidR="00695EE1" w:rsidRPr="004228E4" w:rsidRDefault="00695EE1" w:rsidP="00695EE1">
      <w:pPr>
        <w:spacing w:after="120"/>
        <w:ind w:left="0" w:firstLine="0"/>
        <w:rPr>
          <w:rFonts w:eastAsia="Times New Roman"/>
          <w:sz w:val="4"/>
          <w:szCs w:val="16"/>
        </w:rPr>
      </w:pPr>
    </w:p>
    <w:p w14:paraId="137AF139" w14:textId="77777777" w:rsidR="00695EE1" w:rsidRPr="004228E4" w:rsidRDefault="00695EE1" w:rsidP="00695EE1">
      <w:pPr>
        <w:spacing w:after="120"/>
        <w:ind w:left="0" w:firstLine="0"/>
        <w:rPr>
          <w:rFonts w:eastAsia="Times New Roman"/>
          <w:b/>
          <w:sz w:val="22"/>
          <w:szCs w:val="22"/>
        </w:rPr>
      </w:pPr>
      <w:r w:rsidRPr="004228E4">
        <w:rPr>
          <w:rFonts w:eastAsia="Times New Roman"/>
          <w:b/>
          <w:sz w:val="22"/>
          <w:szCs w:val="22"/>
        </w:rPr>
        <w:lastRenderedPageBreak/>
        <w:t>Who the information is processed about</w:t>
      </w:r>
    </w:p>
    <w:p w14:paraId="6E84D871"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We process personal information about:</w:t>
      </w:r>
    </w:p>
    <w:p w14:paraId="797064DA" w14:textId="77777777" w:rsidR="00695EE1" w:rsidRPr="004228E4" w:rsidRDefault="00695EE1" w:rsidP="00695EE1">
      <w:pPr>
        <w:numPr>
          <w:ilvl w:val="0"/>
          <w:numId w:val="4"/>
        </w:numPr>
        <w:spacing w:after="120"/>
        <w:ind w:left="0" w:firstLine="0"/>
        <w:rPr>
          <w:rFonts w:eastAsia="Times New Roman"/>
          <w:sz w:val="22"/>
          <w:szCs w:val="22"/>
        </w:rPr>
      </w:pPr>
      <w:r w:rsidRPr="004228E4">
        <w:rPr>
          <w:rFonts w:eastAsia="Times New Roman"/>
          <w:sz w:val="22"/>
          <w:szCs w:val="22"/>
        </w:rPr>
        <w:t>employees</w:t>
      </w:r>
    </w:p>
    <w:p w14:paraId="67D9FE7F" w14:textId="77777777" w:rsidR="00695EE1" w:rsidRPr="004228E4" w:rsidRDefault="00695EE1" w:rsidP="00695EE1">
      <w:pPr>
        <w:numPr>
          <w:ilvl w:val="0"/>
          <w:numId w:val="4"/>
        </w:numPr>
        <w:spacing w:after="120"/>
        <w:ind w:left="0" w:firstLine="0"/>
        <w:rPr>
          <w:rFonts w:eastAsia="Times New Roman"/>
          <w:sz w:val="22"/>
          <w:szCs w:val="22"/>
        </w:rPr>
      </w:pPr>
      <w:r w:rsidRPr="004228E4">
        <w:rPr>
          <w:rFonts w:eastAsia="Times New Roman"/>
          <w:sz w:val="22"/>
          <w:szCs w:val="22"/>
        </w:rPr>
        <w:t>suppliers</w:t>
      </w:r>
    </w:p>
    <w:p w14:paraId="31053F5B" w14:textId="77777777" w:rsidR="00695EE1" w:rsidRPr="004228E4" w:rsidRDefault="00695EE1" w:rsidP="00695EE1">
      <w:pPr>
        <w:numPr>
          <w:ilvl w:val="0"/>
          <w:numId w:val="4"/>
        </w:numPr>
        <w:spacing w:after="120"/>
        <w:ind w:left="0" w:firstLine="0"/>
        <w:rPr>
          <w:rFonts w:eastAsia="Times New Roman"/>
          <w:sz w:val="22"/>
          <w:szCs w:val="22"/>
        </w:rPr>
      </w:pPr>
      <w:r w:rsidRPr="004228E4">
        <w:rPr>
          <w:rFonts w:eastAsia="Times New Roman"/>
          <w:sz w:val="22"/>
          <w:szCs w:val="22"/>
        </w:rPr>
        <w:t>complainants, enquirers</w:t>
      </w:r>
    </w:p>
    <w:p w14:paraId="315C4B25" w14:textId="77777777" w:rsidR="00695EE1" w:rsidRPr="004228E4" w:rsidRDefault="00695EE1" w:rsidP="00695EE1">
      <w:pPr>
        <w:numPr>
          <w:ilvl w:val="0"/>
          <w:numId w:val="4"/>
        </w:numPr>
        <w:spacing w:after="120"/>
        <w:ind w:left="0" w:firstLine="0"/>
        <w:rPr>
          <w:rFonts w:eastAsia="Times New Roman"/>
          <w:sz w:val="22"/>
          <w:szCs w:val="22"/>
        </w:rPr>
      </w:pPr>
      <w:r w:rsidRPr="004228E4">
        <w:rPr>
          <w:rFonts w:eastAsia="Times New Roman"/>
          <w:sz w:val="22"/>
          <w:szCs w:val="22"/>
        </w:rPr>
        <w:t>business contacts</w:t>
      </w:r>
    </w:p>
    <w:p w14:paraId="3CBB900D" w14:textId="77777777" w:rsidR="00695EE1" w:rsidRPr="004228E4" w:rsidRDefault="00695EE1" w:rsidP="00695EE1">
      <w:pPr>
        <w:numPr>
          <w:ilvl w:val="0"/>
          <w:numId w:val="4"/>
        </w:numPr>
        <w:spacing w:after="120"/>
        <w:ind w:left="0" w:firstLine="0"/>
        <w:rPr>
          <w:rFonts w:eastAsia="Times New Roman"/>
          <w:sz w:val="22"/>
          <w:szCs w:val="22"/>
        </w:rPr>
      </w:pPr>
      <w:r w:rsidRPr="004228E4">
        <w:rPr>
          <w:rFonts w:eastAsia="Times New Roman"/>
          <w:sz w:val="22"/>
          <w:szCs w:val="22"/>
        </w:rPr>
        <w:t>professional advisers and consultants</w:t>
      </w:r>
    </w:p>
    <w:p w14:paraId="029212C0" w14:textId="77777777" w:rsidR="00695EE1" w:rsidRPr="004228E4" w:rsidRDefault="00695EE1" w:rsidP="00695EE1">
      <w:pPr>
        <w:numPr>
          <w:ilvl w:val="0"/>
          <w:numId w:val="4"/>
        </w:numPr>
        <w:spacing w:after="120"/>
        <w:ind w:left="0" w:firstLine="0"/>
        <w:rPr>
          <w:rFonts w:eastAsia="Times New Roman"/>
          <w:sz w:val="22"/>
          <w:szCs w:val="22"/>
        </w:rPr>
      </w:pPr>
      <w:r w:rsidRPr="004228E4">
        <w:rPr>
          <w:rFonts w:eastAsia="Times New Roman"/>
          <w:sz w:val="22"/>
          <w:szCs w:val="22"/>
        </w:rPr>
        <w:t>residents of the parish</w:t>
      </w:r>
    </w:p>
    <w:p w14:paraId="38E602ED" w14:textId="77777777" w:rsidR="00695EE1" w:rsidRPr="004228E4" w:rsidRDefault="00695EE1" w:rsidP="00695EE1">
      <w:pPr>
        <w:numPr>
          <w:ilvl w:val="0"/>
          <w:numId w:val="4"/>
        </w:numPr>
        <w:spacing w:after="120"/>
        <w:ind w:left="0" w:firstLine="0"/>
        <w:rPr>
          <w:rFonts w:eastAsia="Times New Roman"/>
          <w:sz w:val="22"/>
          <w:szCs w:val="22"/>
        </w:rPr>
      </w:pPr>
      <w:r w:rsidRPr="004228E4">
        <w:rPr>
          <w:rFonts w:eastAsia="Times New Roman"/>
          <w:sz w:val="22"/>
          <w:szCs w:val="22"/>
        </w:rPr>
        <w:t>elected representatives and holders of public office</w:t>
      </w:r>
    </w:p>
    <w:p w14:paraId="6B0B1A42" w14:textId="77777777" w:rsidR="00695EE1" w:rsidRPr="004228E4" w:rsidRDefault="00695EE1" w:rsidP="00695EE1">
      <w:pPr>
        <w:numPr>
          <w:ilvl w:val="0"/>
          <w:numId w:val="4"/>
        </w:numPr>
        <w:spacing w:after="120"/>
        <w:ind w:left="0" w:firstLine="0"/>
        <w:rPr>
          <w:rFonts w:eastAsia="Times New Roman"/>
          <w:sz w:val="22"/>
          <w:szCs w:val="22"/>
        </w:rPr>
      </w:pPr>
      <w:r w:rsidRPr="004228E4">
        <w:rPr>
          <w:rFonts w:eastAsia="Times New Roman"/>
          <w:sz w:val="22"/>
          <w:szCs w:val="22"/>
        </w:rPr>
        <w:t>members of the parish council</w:t>
      </w:r>
    </w:p>
    <w:p w14:paraId="23FB56DB" w14:textId="77777777" w:rsidR="00695EE1" w:rsidRPr="004228E4" w:rsidRDefault="00695EE1" w:rsidP="00695EE1">
      <w:pPr>
        <w:spacing w:after="120"/>
        <w:ind w:left="0" w:firstLine="0"/>
        <w:rPr>
          <w:rFonts w:eastAsia="Times New Roman"/>
          <w:sz w:val="4"/>
          <w:szCs w:val="16"/>
        </w:rPr>
      </w:pPr>
    </w:p>
    <w:p w14:paraId="7C3FD337" w14:textId="77777777" w:rsidR="00695EE1" w:rsidRPr="004228E4" w:rsidRDefault="00695EE1" w:rsidP="00695EE1">
      <w:pPr>
        <w:spacing w:after="120"/>
        <w:ind w:left="0" w:firstLine="0"/>
        <w:rPr>
          <w:rFonts w:eastAsia="Times New Roman"/>
          <w:b/>
          <w:sz w:val="22"/>
          <w:szCs w:val="22"/>
        </w:rPr>
      </w:pPr>
      <w:r w:rsidRPr="004228E4">
        <w:rPr>
          <w:rFonts w:eastAsia="Times New Roman"/>
          <w:b/>
          <w:sz w:val="22"/>
          <w:szCs w:val="22"/>
        </w:rPr>
        <w:t>Who the information may be shared with</w:t>
      </w:r>
    </w:p>
    <w:p w14:paraId="3796E602"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We sometimes need to share the personal information we process with the individual themself and also with other organisations. Where this is necessary we are required to comply with all aspects of the Data Protection Act (DPA). What follows is a description of the types of organisations we may need to share some of the personal information we process with for one or more reasons.</w:t>
      </w:r>
    </w:p>
    <w:p w14:paraId="3302AC79" w14:textId="77777777" w:rsidR="00695EE1" w:rsidRPr="004228E4" w:rsidRDefault="00695EE1" w:rsidP="00695EE1">
      <w:pPr>
        <w:spacing w:after="120"/>
        <w:ind w:left="0" w:firstLine="0"/>
        <w:rPr>
          <w:rFonts w:eastAsia="Times New Roman"/>
          <w:sz w:val="4"/>
          <w:szCs w:val="16"/>
        </w:rPr>
      </w:pPr>
    </w:p>
    <w:p w14:paraId="089F7E52" w14:textId="77777777" w:rsidR="00695EE1" w:rsidRPr="004228E4" w:rsidRDefault="00695EE1" w:rsidP="00695EE1">
      <w:pPr>
        <w:spacing w:after="120"/>
        <w:ind w:left="0" w:firstLine="0"/>
        <w:rPr>
          <w:rFonts w:eastAsia="Times New Roman"/>
          <w:b/>
          <w:sz w:val="22"/>
          <w:szCs w:val="22"/>
        </w:rPr>
      </w:pPr>
      <w:r w:rsidRPr="004228E4">
        <w:rPr>
          <w:rFonts w:eastAsia="Times New Roman"/>
          <w:b/>
          <w:sz w:val="22"/>
          <w:szCs w:val="22"/>
        </w:rPr>
        <w:t>Where necessary or required we share information with:</w:t>
      </w:r>
    </w:p>
    <w:p w14:paraId="69BDB387" w14:textId="77777777" w:rsidR="00695EE1" w:rsidRPr="004228E4" w:rsidRDefault="00695EE1" w:rsidP="00695EE1">
      <w:pPr>
        <w:numPr>
          <w:ilvl w:val="0"/>
          <w:numId w:val="5"/>
        </w:numPr>
        <w:spacing w:after="120"/>
        <w:ind w:left="0" w:firstLine="0"/>
        <w:rPr>
          <w:rFonts w:eastAsia="Times New Roman"/>
          <w:sz w:val="22"/>
          <w:szCs w:val="22"/>
        </w:rPr>
      </w:pPr>
      <w:r w:rsidRPr="004228E4">
        <w:rPr>
          <w:rFonts w:eastAsia="Times New Roman"/>
          <w:sz w:val="22"/>
          <w:szCs w:val="22"/>
        </w:rPr>
        <w:t>educators and examining bodies</w:t>
      </w:r>
    </w:p>
    <w:p w14:paraId="2D9D3489" w14:textId="77777777" w:rsidR="00695EE1" w:rsidRPr="004228E4" w:rsidRDefault="00695EE1" w:rsidP="00695EE1">
      <w:pPr>
        <w:numPr>
          <w:ilvl w:val="0"/>
          <w:numId w:val="5"/>
        </w:numPr>
        <w:spacing w:after="120"/>
        <w:ind w:left="0" w:firstLine="0"/>
        <w:rPr>
          <w:rFonts w:eastAsia="Times New Roman"/>
          <w:sz w:val="22"/>
          <w:szCs w:val="22"/>
        </w:rPr>
      </w:pPr>
      <w:r w:rsidRPr="004228E4">
        <w:rPr>
          <w:rFonts w:eastAsia="Times New Roman"/>
          <w:sz w:val="22"/>
          <w:szCs w:val="22"/>
        </w:rPr>
        <w:t>suppliers and service providers</w:t>
      </w:r>
    </w:p>
    <w:p w14:paraId="02F5343B" w14:textId="77777777" w:rsidR="00695EE1" w:rsidRPr="004228E4" w:rsidRDefault="00695EE1" w:rsidP="00695EE1">
      <w:pPr>
        <w:numPr>
          <w:ilvl w:val="0"/>
          <w:numId w:val="5"/>
        </w:numPr>
        <w:spacing w:after="120"/>
        <w:ind w:left="0" w:firstLine="0"/>
        <w:rPr>
          <w:rFonts w:eastAsia="Times New Roman"/>
          <w:sz w:val="22"/>
          <w:szCs w:val="22"/>
        </w:rPr>
      </w:pPr>
      <w:r w:rsidRPr="004228E4">
        <w:rPr>
          <w:rFonts w:eastAsia="Times New Roman"/>
          <w:sz w:val="22"/>
          <w:szCs w:val="22"/>
        </w:rPr>
        <w:t>persons making an enquiry or complaint</w:t>
      </w:r>
    </w:p>
    <w:p w14:paraId="13E1615A" w14:textId="77777777" w:rsidR="00695EE1" w:rsidRPr="004228E4" w:rsidRDefault="00695EE1" w:rsidP="00695EE1">
      <w:pPr>
        <w:numPr>
          <w:ilvl w:val="0"/>
          <w:numId w:val="5"/>
        </w:numPr>
        <w:spacing w:after="120"/>
        <w:ind w:left="0" w:firstLine="0"/>
        <w:rPr>
          <w:rFonts w:eastAsia="Times New Roman"/>
          <w:sz w:val="22"/>
          <w:szCs w:val="22"/>
        </w:rPr>
      </w:pPr>
      <w:r w:rsidRPr="004228E4">
        <w:rPr>
          <w:rFonts w:eastAsia="Times New Roman"/>
          <w:sz w:val="22"/>
          <w:szCs w:val="22"/>
        </w:rPr>
        <w:t>local government</w:t>
      </w:r>
    </w:p>
    <w:p w14:paraId="486069BA" w14:textId="77777777" w:rsidR="00695EE1" w:rsidRPr="004228E4" w:rsidRDefault="00695EE1" w:rsidP="00695EE1">
      <w:pPr>
        <w:numPr>
          <w:ilvl w:val="0"/>
          <w:numId w:val="5"/>
        </w:numPr>
        <w:spacing w:after="120"/>
        <w:ind w:left="0" w:firstLine="0"/>
        <w:rPr>
          <w:rFonts w:eastAsia="Times New Roman"/>
          <w:sz w:val="22"/>
          <w:szCs w:val="22"/>
        </w:rPr>
      </w:pPr>
      <w:r w:rsidRPr="004228E4">
        <w:rPr>
          <w:rFonts w:eastAsia="Times New Roman"/>
          <w:sz w:val="22"/>
          <w:szCs w:val="22"/>
        </w:rPr>
        <w:t>press and the media</w:t>
      </w:r>
    </w:p>
    <w:p w14:paraId="35C4DF9C" w14:textId="77777777" w:rsidR="00695EE1" w:rsidRPr="004228E4" w:rsidRDefault="00695EE1" w:rsidP="00695EE1">
      <w:pPr>
        <w:numPr>
          <w:ilvl w:val="0"/>
          <w:numId w:val="5"/>
        </w:numPr>
        <w:spacing w:after="120"/>
        <w:ind w:left="0" w:firstLine="0"/>
        <w:rPr>
          <w:rFonts w:eastAsia="Times New Roman"/>
          <w:sz w:val="22"/>
          <w:szCs w:val="22"/>
        </w:rPr>
      </w:pPr>
      <w:r w:rsidRPr="004228E4">
        <w:rPr>
          <w:rFonts w:eastAsia="Times New Roman"/>
          <w:sz w:val="22"/>
          <w:szCs w:val="22"/>
        </w:rPr>
        <w:t>family, associates and representatives of the person whose personal data we are processing</w:t>
      </w:r>
    </w:p>
    <w:p w14:paraId="5CC331BF" w14:textId="77777777" w:rsidR="00695EE1" w:rsidRPr="004228E4" w:rsidRDefault="00695EE1" w:rsidP="00695EE1">
      <w:pPr>
        <w:numPr>
          <w:ilvl w:val="0"/>
          <w:numId w:val="5"/>
        </w:numPr>
        <w:spacing w:after="120"/>
        <w:ind w:left="0" w:firstLine="0"/>
        <w:rPr>
          <w:rFonts w:eastAsia="Times New Roman"/>
          <w:sz w:val="22"/>
          <w:szCs w:val="22"/>
        </w:rPr>
      </w:pPr>
      <w:r w:rsidRPr="004228E4">
        <w:rPr>
          <w:rFonts w:eastAsia="Times New Roman"/>
          <w:sz w:val="22"/>
          <w:szCs w:val="22"/>
        </w:rPr>
        <w:t>current, past and prospective employers</w:t>
      </w:r>
    </w:p>
    <w:p w14:paraId="47585091" w14:textId="77777777" w:rsidR="00695EE1" w:rsidRPr="004228E4" w:rsidRDefault="00695EE1" w:rsidP="00695EE1">
      <w:pPr>
        <w:numPr>
          <w:ilvl w:val="0"/>
          <w:numId w:val="5"/>
        </w:numPr>
        <w:spacing w:after="120"/>
        <w:ind w:left="0" w:firstLine="0"/>
        <w:rPr>
          <w:rFonts w:eastAsia="Times New Roman"/>
          <w:sz w:val="22"/>
          <w:szCs w:val="22"/>
        </w:rPr>
      </w:pPr>
      <w:r w:rsidRPr="004228E4">
        <w:rPr>
          <w:rFonts w:eastAsia="Times New Roman"/>
          <w:sz w:val="22"/>
          <w:szCs w:val="22"/>
        </w:rPr>
        <w:t>financial organisations</w:t>
      </w:r>
    </w:p>
    <w:p w14:paraId="22179EE6" w14:textId="77777777" w:rsidR="00695EE1" w:rsidRPr="004228E4" w:rsidRDefault="00695EE1" w:rsidP="00695EE1">
      <w:pPr>
        <w:spacing w:after="120"/>
        <w:ind w:left="0" w:firstLine="0"/>
        <w:rPr>
          <w:rFonts w:eastAsia="Times New Roman"/>
          <w:sz w:val="4"/>
          <w:szCs w:val="16"/>
        </w:rPr>
      </w:pPr>
    </w:p>
    <w:p w14:paraId="7F379752"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Additional reasons</w:t>
      </w:r>
    </w:p>
    <w:p w14:paraId="12B526B8" w14:textId="77777777" w:rsidR="00695EE1" w:rsidRPr="004228E4" w:rsidRDefault="00695EE1" w:rsidP="00695EE1">
      <w:pPr>
        <w:spacing w:after="120"/>
        <w:ind w:left="0" w:firstLine="0"/>
        <w:outlineLvl w:val="3"/>
        <w:rPr>
          <w:rFonts w:eastAsia="Times New Roman"/>
          <w:b/>
          <w:bCs/>
          <w:sz w:val="22"/>
          <w:szCs w:val="22"/>
        </w:rPr>
      </w:pPr>
      <w:r w:rsidRPr="004228E4">
        <w:rPr>
          <w:rFonts w:eastAsia="Times New Roman"/>
          <w:b/>
          <w:bCs/>
          <w:sz w:val="22"/>
          <w:szCs w:val="22"/>
        </w:rPr>
        <w:t>Transferring information overseas</w:t>
      </w:r>
    </w:p>
    <w:p w14:paraId="4A9B131F" w14:textId="77777777" w:rsidR="00695EE1" w:rsidRPr="004228E4" w:rsidRDefault="00695EE1" w:rsidP="00695EE1">
      <w:pPr>
        <w:spacing w:after="120"/>
        <w:ind w:left="0" w:firstLine="0"/>
        <w:rPr>
          <w:rFonts w:eastAsia="Times New Roman"/>
          <w:b/>
          <w:sz w:val="22"/>
          <w:szCs w:val="22"/>
        </w:rPr>
      </w:pPr>
      <w:r w:rsidRPr="004228E4">
        <w:rPr>
          <w:rFonts w:eastAsia="Times New Roman"/>
          <w:b/>
          <w:sz w:val="22"/>
          <w:szCs w:val="22"/>
        </w:rPr>
        <w:t>Do you transfer data outside the European Economic Area (EEA)?</w:t>
      </w:r>
    </w:p>
    <w:p w14:paraId="3A396188"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No</w:t>
      </w:r>
    </w:p>
    <w:p w14:paraId="465F6D02" w14:textId="77777777" w:rsidR="00695EE1" w:rsidRPr="004228E4" w:rsidRDefault="00695EE1" w:rsidP="00695EE1">
      <w:pPr>
        <w:spacing w:after="120"/>
        <w:ind w:left="0" w:firstLine="0"/>
        <w:rPr>
          <w:rFonts w:eastAsia="Times New Roman"/>
          <w:sz w:val="4"/>
          <w:szCs w:val="16"/>
        </w:rPr>
      </w:pPr>
    </w:p>
    <w:p w14:paraId="55E5ADF5" w14:textId="77777777" w:rsidR="00695EE1" w:rsidRPr="004228E4" w:rsidRDefault="00695EE1" w:rsidP="00695EE1">
      <w:pPr>
        <w:spacing w:after="120"/>
        <w:ind w:left="0" w:firstLine="0"/>
        <w:rPr>
          <w:rFonts w:eastAsia="Times New Roman"/>
          <w:b/>
          <w:sz w:val="22"/>
          <w:szCs w:val="22"/>
        </w:rPr>
      </w:pPr>
      <w:r w:rsidRPr="004228E4">
        <w:rPr>
          <w:rFonts w:eastAsia="Times New Roman"/>
          <w:b/>
          <w:sz w:val="22"/>
          <w:szCs w:val="22"/>
        </w:rPr>
        <w:t>Does this cover all your processing of personal information?</w:t>
      </w:r>
    </w:p>
    <w:p w14:paraId="674F6DBD" w14:textId="77777777" w:rsidR="00695EE1" w:rsidRDefault="00695EE1" w:rsidP="00695EE1">
      <w:pPr>
        <w:spacing w:after="120"/>
        <w:ind w:left="0" w:firstLine="0"/>
        <w:rPr>
          <w:rFonts w:eastAsia="Times New Roman"/>
          <w:sz w:val="22"/>
          <w:szCs w:val="22"/>
        </w:rPr>
      </w:pPr>
      <w:r w:rsidRPr="004228E4">
        <w:rPr>
          <w:rFonts w:eastAsia="Times New Roman"/>
          <w:sz w:val="22"/>
          <w:szCs w:val="22"/>
        </w:rPr>
        <w:t>Yes</w:t>
      </w:r>
    </w:p>
    <w:p w14:paraId="6D31CE6A" w14:textId="77777777" w:rsidR="004228E4" w:rsidRPr="004228E4" w:rsidRDefault="004228E4" w:rsidP="004228E4">
      <w:pPr>
        <w:pStyle w:val="ListParagraph"/>
        <w:spacing w:after="120"/>
        <w:rPr>
          <w:sz w:val="16"/>
          <w:szCs w:val="16"/>
        </w:rPr>
      </w:pPr>
    </w:p>
    <w:p w14:paraId="2AC8A1C9" w14:textId="77777777" w:rsidR="004228E4" w:rsidRPr="004228E4" w:rsidRDefault="004228E4" w:rsidP="004228E4">
      <w:pPr>
        <w:pBdr>
          <w:top w:val="single" w:sz="4" w:space="1" w:color="auto"/>
        </w:pBdr>
        <w:spacing w:after="120"/>
        <w:rPr>
          <w:sz w:val="22"/>
          <w:szCs w:val="22"/>
        </w:rPr>
      </w:pPr>
    </w:p>
    <w:p w14:paraId="6DF3576F" w14:textId="77777777" w:rsidR="00695EE1" w:rsidRPr="004228E4" w:rsidRDefault="00C85B22" w:rsidP="00695EE1">
      <w:pPr>
        <w:pBdr>
          <w:top w:val="single" w:sz="4" w:space="1" w:color="auto"/>
          <w:left w:val="single" w:sz="4" w:space="4" w:color="auto"/>
          <w:bottom w:val="single" w:sz="4" w:space="1" w:color="auto"/>
          <w:right w:val="single" w:sz="4" w:space="4" w:color="auto"/>
        </w:pBdr>
        <w:shd w:val="clear" w:color="auto" w:fill="FFFFCC"/>
        <w:spacing w:after="120"/>
        <w:rPr>
          <w:b/>
        </w:rPr>
      </w:pPr>
      <w:r w:rsidRPr="004228E4">
        <w:rPr>
          <w:b/>
        </w:rPr>
        <w:t>INFORMATION FOR THE INFORMATION COMMISSIONER’S OFFICE (ICO</w:t>
      </w:r>
      <w:bookmarkEnd w:id="0"/>
      <w:r w:rsidRPr="004228E4">
        <w:rPr>
          <w:b/>
        </w:rPr>
        <w:t>)</w:t>
      </w:r>
    </w:p>
    <w:p w14:paraId="2B6E3F1A" w14:textId="77777777" w:rsidR="004228E4" w:rsidRPr="004228E4" w:rsidRDefault="004228E4" w:rsidP="004228E4">
      <w:pPr>
        <w:spacing w:after="120"/>
        <w:ind w:left="0" w:firstLine="0"/>
        <w:rPr>
          <w:rFonts w:eastAsia="Times New Roman"/>
          <w:b/>
          <w:bCs/>
          <w:sz w:val="4"/>
          <w:szCs w:val="16"/>
        </w:rPr>
      </w:pPr>
    </w:p>
    <w:p w14:paraId="3F779300" w14:textId="77777777" w:rsidR="00695EE1" w:rsidRPr="00757955" w:rsidRDefault="00695EE1" w:rsidP="00695EE1">
      <w:pPr>
        <w:spacing w:after="120"/>
        <w:ind w:left="0" w:firstLine="0"/>
        <w:rPr>
          <w:rFonts w:eastAsia="Times New Roman"/>
          <w:b/>
          <w:bCs/>
          <w:sz w:val="22"/>
          <w:szCs w:val="22"/>
        </w:rPr>
      </w:pPr>
      <w:r w:rsidRPr="00757955">
        <w:rPr>
          <w:rFonts w:eastAsia="Times New Roman"/>
          <w:b/>
          <w:bCs/>
          <w:sz w:val="22"/>
          <w:szCs w:val="22"/>
        </w:rPr>
        <w:t>Main contact details</w:t>
      </w:r>
    </w:p>
    <w:p w14:paraId="694F3692" w14:textId="77777777" w:rsidR="00DD5958" w:rsidRPr="00757955" w:rsidRDefault="00DD5958" w:rsidP="00DD5958">
      <w:pPr>
        <w:spacing w:after="120"/>
        <w:ind w:left="0" w:firstLine="0"/>
        <w:rPr>
          <w:rFonts w:eastAsia="Times New Roman"/>
          <w:sz w:val="22"/>
          <w:szCs w:val="22"/>
        </w:rPr>
      </w:pPr>
      <w:r w:rsidRPr="00757955">
        <w:rPr>
          <w:rFonts w:eastAsia="Times New Roman"/>
          <w:sz w:val="22"/>
          <w:szCs w:val="22"/>
        </w:rPr>
        <w:t xml:space="preserve">Sara Porter, Parish Clerk, The Old School House, High Street, Stoke Ferry, King's Lynn, Norfolk, PE33 9SF, UNITED KINGDOM, </w:t>
      </w:r>
      <w:r>
        <w:rPr>
          <w:rFonts w:eastAsia="Times New Roman"/>
          <w:sz w:val="22"/>
          <w:szCs w:val="22"/>
        </w:rPr>
        <w:t>dwpc01</w:t>
      </w:r>
      <w:r w:rsidRPr="00757955">
        <w:rPr>
          <w:rFonts w:eastAsia="Times New Roman"/>
          <w:sz w:val="22"/>
          <w:szCs w:val="22"/>
        </w:rPr>
        <w:t>@gmail.com</w:t>
      </w:r>
    </w:p>
    <w:p w14:paraId="1EED7B7F" w14:textId="77777777" w:rsidR="00695EE1" w:rsidRPr="00757955" w:rsidRDefault="00695EE1" w:rsidP="00695EE1">
      <w:pPr>
        <w:spacing w:after="120"/>
        <w:ind w:left="0" w:firstLine="0"/>
        <w:rPr>
          <w:rFonts w:eastAsia="Times New Roman"/>
          <w:sz w:val="4"/>
          <w:szCs w:val="16"/>
        </w:rPr>
      </w:pPr>
    </w:p>
    <w:p w14:paraId="17A785AA" w14:textId="77777777" w:rsidR="00695EE1" w:rsidRPr="004228E4" w:rsidRDefault="00695EE1" w:rsidP="00695EE1">
      <w:pPr>
        <w:spacing w:after="120"/>
        <w:ind w:left="0" w:firstLine="0"/>
        <w:outlineLvl w:val="3"/>
        <w:rPr>
          <w:rFonts w:eastAsia="Times New Roman"/>
          <w:b/>
          <w:bCs/>
          <w:sz w:val="22"/>
          <w:szCs w:val="22"/>
        </w:rPr>
      </w:pPr>
      <w:r w:rsidRPr="004228E4">
        <w:rPr>
          <w:rFonts w:eastAsia="Times New Roman"/>
          <w:b/>
          <w:bCs/>
          <w:sz w:val="22"/>
          <w:szCs w:val="22"/>
        </w:rPr>
        <w:t>Person completing the registration</w:t>
      </w:r>
    </w:p>
    <w:p w14:paraId="10BF8C06" w14:textId="77777777" w:rsidR="00695EE1" w:rsidRPr="00757955" w:rsidRDefault="00695EE1" w:rsidP="00695EE1">
      <w:pPr>
        <w:spacing w:after="120"/>
        <w:ind w:left="0" w:firstLine="0"/>
        <w:rPr>
          <w:rFonts w:eastAsia="Times New Roman"/>
          <w:sz w:val="22"/>
          <w:szCs w:val="22"/>
        </w:rPr>
      </w:pPr>
      <w:r w:rsidRPr="00757955">
        <w:rPr>
          <w:rFonts w:eastAsia="Times New Roman"/>
          <w:sz w:val="22"/>
          <w:szCs w:val="22"/>
        </w:rPr>
        <w:t>Mrs Sara Porter, Parish Clerk</w:t>
      </w:r>
    </w:p>
    <w:p w14:paraId="1F6B7DAD" w14:textId="77777777" w:rsidR="00757955" w:rsidRPr="004228E4" w:rsidRDefault="00757955" w:rsidP="00757955">
      <w:pPr>
        <w:spacing w:after="120"/>
        <w:ind w:left="0" w:firstLine="0"/>
        <w:rPr>
          <w:rFonts w:eastAsia="Times New Roman"/>
          <w:sz w:val="4"/>
          <w:szCs w:val="16"/>
        </w:rPr>
      </w:pPr>
    </w:p>
    <w:p w14:paraId="79C111DD"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Someone in my place of work is responsible for making sure we comply with the Data Protection Act</w:t>
      </w:r>
    </w:p>
    <w:p w14:paraId="7ED73814"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Yes</w:t>
      </w:r>
    </w:p>
    <w:p w14:paraId="218F4D94" w14:textId="77777777" w:rsidR="00695EE1" w:rsidRPr="004228E4" w:rsidRDefault="00695EE1" w:rsidP="00695EE1">
      <w:pPr>
        <w:spacing w:after="120"/>
        <w:ind w:left="0" w:firstLine="0"/>
        <w:rPr>
          <w:rFonts w:eastAsia="Times New Roman"/>
          <w:sz w:val="4"/>
          <w:szCs w:val="16"/>
        </w:rPr>
      </w:pPr>
    </w:p>
    <w:p w14:paraId="119FF96A"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Relevant people in my place of work have been trained in how to handle personal information</w:t>
      </w:r>
    </w:p>
    <w:p w14:paraId="41301865"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Yes</w:t>
      </w:r>
    </w:p>
    <w:p w14:paraId="6D24C011" w14:textId="77777777" w:rsidR="00695EE1" w:rsidRPr="004228E4" w:rsidRDefault="00695EE1" w:rsidP="00695EE1">
      <w:pPr>
        <w:spacing w:after="120"/>
        <w:ind w:left="0" w:firstLine="0"/>
        <w:rPr>
          <w:rFonts w:eastAsia="Times New Roman"/>
          <w:sz w:val="4"/>
          <w:szCs w:val="16"/>
        </w:rPr>
      </w:pPr>
    </w:p>
    <w:p w14:paraId="35E9432A"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When collecting personal information, we tell people how we will use it</w:t>
      </w:r>
    </w:p>
    <w:p w14:paraId="50C266D1"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Yes</w:t>
      </w:r>
    </w:p>
    <w:p w14:paraId="4CEF417B" w14:textId="77777777" w:rsidR="00695EE1" w:rsidRPr="004228E4" w:rsidRDefault="00695EE1" w:rsidP="00695EE1">
      <w:pPr>
        <w:spacing w:after="120"/>
        <w:ind w:left="0" w:firstLine="0"/>
        <w:rPr>
          <w:rFonts w:eastAsia="Times New Roman"/>
          <w:sz w:val="4"/>
          <w:szCs w:val="16"/>
        </w:rPr>
      </w:pPr>
    </w:p>
    <w:p w14:paraId="11AFF88F"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We have a process in place so we can respond to requests for the personal information we hold</w:t>
      </w:r>
    </w:p>
    <w:p w14:paraId="26DF3681"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Yes</w:t>
      </w:r>
    </w:p>
    <w:p w14:paraId="5C3AC150" w14:textId="77777777" w:rsidR="00695EE1" w:rsidRPr="004228E4" w:rsidRDefault="00695EE1" w:rsidP="00695EE1">
      <w:pPr>
        <w:spacing w:after="120"/>
        <w:ind w:left="0" w:firstLine="0"/>
        <w:rPr>
          <w:rFonts w:eastAsia="Times New Roman"/>
          <w:sz w:val="4"/>
          <w:szCs w:val="16"/>
        </w:rPr>
      </w:pPr>
    </w:p>
    <w:p w14:paraId="5516FAB8"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We keep records of people's personal information up to date and don't keep it longer than necessary</w:t>
      </w:r>
    </w:p>
    <w:p w14:paraId="6D9D4AD2"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Yes</w:t>
      </w:r>
    </w:p>
    <w:p w14:paraId="464C3C4C" w14:textId="77777777" w:rsidR="00695EE1" w:rsidRPr="004228E4" w:rsidRDefault="00695EE1" w:rsidP="00695EE1">
      <w:pPr>
        <w:spacing w:after="120"/>
        <w:ind w:left="0" w:firstLine="0"/>
        <w:rPr>
          <w:rFonts w:eastAsia="Times New Roman"/>
          <w:sz w:val="4"/>
          <w:szCs w:val="16"/>
        </w:rPr>
      </w:pPr>
    </w:p>
    <w:p w14:paraId="75B1F990" w14:textId="77777777" w:rsidR="00695EE1" w:rsidRPr="004228E4" w:rsidRDefault="00695EE1" w:rsidP="00695EE1">
      <w:pPr>
        <w:spacing w:after="120"/>
        <w:ind w:left="0" w:firstLine="0"/>
        <w:rPr>
          <w:rFonts w:eastAsia="Times New Roman"/>
          <w:b/>
          <w:bCs/>
          <w:sz w:val="22"/>
          <w:szCs w:val="22"/>
        </w:rPr>
      </w:pPr>
      <w:r w:rsidRPr="004228E4">
        <w:rPr>
          <w:rFonts w:eastAsia="Times New Roman"/>
          <w:b/>
          <w:bCs/>
          <w:sz w:val="22"/>
          <w:szCs w:val="22"/>
        </w:rPr>
        <w:t>We have measures in place to keep the personal data we hold safe and secure</w:t>
      </w:r>
    </w:p>
    <w:p w14:paraId="47BFEDDE" w14:textId="77777777" w:rsidR="00695EE1" w:rsidRPr="004228E4" w:rsidRDefault="00695EE1" w:rsidP="00695EE1">
      <w:pPr>
        <w:spacing w:after="120"/>
        <w:ind w:left="0" w:firstLine="0"/>
        <w:rPr>
          <w:rFonts w:eastAsia="Times New Roman"/>
          <w:sz w:val="22"/>
          <w:szCs w:val="22"/>
        </w:rPr>
      </w:pPr>
      <w:r w:rsidRPr="004228E4">
        <w:rPr>
          <w:rFonts w:eastAsia="Times New Roman"/>
          <w:sz w:val="22"/>
          <w:szCs w:val="22"/>
        </w:rPr>
        <w:t>Yes</w:t>
      </w:r>
    </w:p>
    <w:p w14:paraId="29152E7F" w14:textId="77777777" w:rsidR="00695EE1" w:rsidRPr="004228E4" w:rsidRDefault="00695EE1" w:rsidP="00695EE1">
      <w:pPr>
        <w:spacing w:after="120"/>
        <w:ind w:left="0" w:firstLine="0"/>
        <w:rPr>
          <w:rFonts w:eastAsia="Times New Roman"/>
          <w:sz w:val="4"/>
          <w:szCs w:val="16"/>
        </w:rPr>
      </w:pPr>
    </w:p>
    <w:p w14:paraId="2CA5979A" w14:textId="77777777" w:rsidR="00695EE1" w:rsidRPr="004228E4" w:rsidRDefault="00695EE1" w:rsidP="00695EE1">
      <w:pPr>
        <w:spacing w:after="120"/>
        <w:rPr>
          <w:b/>
          <w:sz w:val="22"/>
          <w:szCs w:val="22"/>
        </w:rPr>
      </w:pPr>
      <w:r w:rsidRPr="004228E4">
        <w:rPr>
          <w:b/>
          <w:sz w:val="22"/>
          <w:szCs w:val="22"/>
        </w:rPr>
        <w:t>Declaration</w:t>
      </w:r>
      <w:r w:rsidR="00141F15" w:rsidRPr="004228E4">
        <w:rPr>
          <w:b/>
          <w:sz w:val="22"/>
          <w:szCs w:val="22"/>
        </w:rPr>
        <w:t xml:space="preserve"> by Parish Clerk</w:t>
      </w:r>
    </w:p>
    <w:p w14:paraId="67B5C423" w14:textId="792AE3E1" w:rsidR="00695EE1" w:rsidRPr="004228E4" w:rsidRDefault="00D04A20" w:rsidP="00695EE1">
      <w:pPr>
        <w:spacing w:after="120"/>
        <w:ind w:left="0" w:firstLine="0"/>
        <w:rPr>
          <w:rFonts w:eastAsia="Times New Roman"/>
          <w:sz w:val="22"/>
          <w:szCs w:val="22"/>
        </w:rPr>
      </w:pPr>
      <w:r w:rsidRPr="004228E4">
        <w:rPr>
          <w:rFonts w:eastAsia="Times New Roman"/>
        </w:rPr>
        <w:object w:dxaOrig="225" w:dyaOrig="225" w14:anchorId="2356F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6" o:title=""/>
          </v:shape>
          <w:control r:id="rId7" w:name="DefaultOcxName2" w:shapeid="_x0000_i1028"/>
        </w:object>
      </w:r>
      <w:r w:rsidR="00695EE1" w:rsidRPr="004228E4">
        <w:rPr>
          <w:rFonts w:eastAsia="Times New Roman"/>
          <w:sz w:val="22"/>
          <w:szCs w:val="22"/>
        </w:rPr>
        <w:t>I declare that, to the best of my knowledge and belief, the details I have given in th</w:t>
      </w:r>
      <w:r w:rsidR="00141F15" w:rsidRPr="004228E4">
        <w:rPr>
          <w:rFonts w:eastAsia="Times New Roman"/>
          <w:sz w:val="22"/>
          <w:szCs w:val="22"/>
        </w:rPr>
        <w:t>e</w:t>
      </w:r>
      <w:r w:rsidR="00695EE1" w:rsidRPr="004228E4">
        <w:rPr>
          <w:rFonts w:eastAsia="Times New Roman"/>
          <w:sz w:val="22"/>
          <w:szCs w:val="22"/>
        </w:rPr>
        <w:t xml:space="preserve"> registration are correct. I confirm that I am authorised to act on behalf of the organisation (data controller) named in this registration. I am aware that if I have provided false information, this may be an offence.</w:t>
      </w:r>
    </w:p>
    <w:p w14:paraId="433260B6" w14:textId="77777777" w:rsidR="00695EE1" w:rsidRPr="004228E4" w:rsidRDefault="00695EE1" w:rsidP="00695EE1">
      <w:pPr>
        <w:spacing w:after="120"/>
        <w:ind w:left="0" w:firstLine="0"/>
        <w:rPr>
          <w:rFonts w:eastAsia="Times New Roman"/>
          <w:sz w:val="22"/>
          <w:szCs w:val="22"/>
        </w:rPr>
      </w:pPr>
    </w:p>
    <w:p w14:paraId="7EB4F277" w14:textId="77777777" w:rsidR="00695EE1" w:rsidRPr="004228E4" w:rsidRDefault="00695EE1" w:rsidP="00695EE1">
      <w:pPr>
        <w:pBdr>
          <w:top w:val="single" w:sz="4" w:space="1" w:color="auto"/>
        </w:pBdr>
        <w:spacing w:after="120"/>
        <w:ind w:left="0" w:firstLine="0"/>
        <w:rPr>
          <w:sz w:val="22"/>
          <w:szCs w:val="22"/>
        </w:rPr>
      </w:pPr>
    </w:p>
    <w:p w14:paraId="7EC6C2F3" w14:textId="77777777" w:rsidR="00695EE1" w:rsidRPr="004228E4" w:rsidRDefault="00695EE1" w:rsidP="00695EE1">
      <w:pPr>
        <w:pStyle w:val="Heading1"/>
        <w:pBdr>
          <w:top w:val="single" w:sz="4" w:space="1" w:color="auto"/>
          <w:left w:val="single" w:sz="4" w:space="4" w:color="auto"/>
          <w:bottom w:val="single" w:sz="4" w:space="1" w:color="auto"/>
          <w:right w:val="single" w:sz="4" w:space="4" w:color="auto"/>
        </w:pBdr>
        <w:shd w:val="clear" w:color="auto" w:fill="FFFFCC"/>
        <w:tabs>
          <w:tab w:val="left" w:pos="709"/>
        </w:tabs>
        <w:spacing w:before="0" w:after="120"/>
        <w:ind w:left="0" w:firstLine="0"/>
        <w:rPr>
          <w:rFonts w:asciiTheme="minorHAnsi" w:hAnsiTheme="minorHAnsi"/>
          <w:color w:val="auto"/>
          <w:sz w:val="24"/>
          <w:szCs w:val="24"/>
        </w:rPr>
      </w:pPr>
      <w:r w:rsidRPr="004228E4">
        <w:rPr>
          <w:rFonts w:asciiTheme="minorHAnsi" w:hAnsiTheme="minorHAnsi"/>
          <w:color w:val="auto"/>
          <w:sz w:val="24"/>
          <w:szCs w:val="24"/>
        </w:rPr>
        <w:t>THE ROLE OF DATA PROTECTION OFFICERS</w:t>
      </w:r>
    </w:p>
    <w:p w14:paraId="2A31F112" w14:textId="77777777" w:rsidR="00695EE1" w:rsidRPr="004228E4" w:rsidRDefault="00695EE1" w:rsidP="00695EE1">
      <w:pPr>
        <w:pStyle w:val="Heading2"/>
        <w:spacing w:before="0" w:beforeAutospacing="0" w:after="120" w:afterAutospacing="0"/>
        <w:ind w:left="720" w:hanging="720"/>
        <w:rPr>
          <w:rFonts w:asciiTheme="minorHAnsi" w:hAnsiTheme="minorHAnsi"/>
          <w:sz w:val="4"/>
          <w:szCs w:val="22"/>
        </w:rPr>
      </w:pPr>
    </w:p>
    <w:p w14:paraId="58F9FEB4" w14:textId="77777777" w:rsidR="00695EE1" w:rsidRPr="004228E4" w:rsidRDefault="00695EE1" w:rsidP="004228E4">
      <w:pPr>
        <w:pStyle w:val="ScheduleHeading1"/>
        <w:pBdr>
          <w:top w:val="single" w:sz="4" w:space="1" w:color="auto"/>
          <w:left w:val="single" w:sz="4" w:space="4" w:color="auto"/>
          <w:bottom w:val="single" w:sz="4" w:space="1" w:color="auto"/>
          <w:right w:val="single" w:sz="4" w:space="4" w:color="auto"/>
        </w:pBdr>
        <w:shd w:val="clear" w:color="auto" w:fill="FFFFDD"/>
        <w:tabs>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 xml:space="preserve">What </w:t>
      </w:r>
      <w:r w:rsidR="004228E4">
        <w:rPr>
          <w:rFonts w:asciiTheme="minorHAnsi" w:hAnsiTheme="minorHAnsi"/>
          <w:sz w:val="22"/>
          <w:szCs w:val="22"/>
        </w:rPr>
        <w:t>Does a</w:t>
      </w:r>
      <w:r w:rsidR="004228E4" w:rsidRPr="004228E4">
        <w:rPr>
          <w:rFonts w:asciiTheme="minorHAnsi" w:hAnsiTheme="minorHAnsi"/>
          <w:sz w:val="22"/>
          <w:szCs w:val="22"/>
        </w:rPr>
        <w:t xml:space="preserve"> </w:t>
      </w:r>
      <w:r w:rsidRPr="004228E4">
        <w:rPr>
          <w:rFonts w:asciiTheme="minorHAnsi" w:hAnsiTheme="minorHAnsi"/>
          <w:sz w:val="22"/>
          <w:szCs w:val="22"/>
        </w:rPr>
        <w:t xml:space="preserve">Data Protection Officer </w:t>
      </w:r>
      <w:r w:rsidR="004228E4" w:rsidRPr="004228E4">
        <w:rPr>
          <w:rFonts w:asciiTheme="minorHAnsi" w:hAnsiTheme="minorHAnsi"/>
          <w:sz w:val="22"/>
          <w:szCs w:val="22"/>
        </w:rPr>
        <w:t>Do?</w:t>
      </w:r>
    </w:p>
    <w:p w14:paraId="09AD1DF4"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The GDPR sets out in detail the minimum responsibilities of the Data Protection Officer (‘DPO’) role.  GDPR specifies that DPOs ‘should assist the controller or the processor to monitor internal compliance with this Regulation’.</w:t>
      </w:r>
    </w:p>
    <w:p w14:paraId="5162D5F5"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 xml:space="preserve">A DPO’s duties include: </w:t>
      </w:r>
    </w:p>
    <w:p w14:paraId="57B6FA4F" w14:textId="77777777" w:rsidR="00695EE1" w:rsidRPr="004228E4" w:rsidRDefault="00695EE1" w:rsidP="00695EE1">
      <w:pPr>
        <w:pStyle w:val="ScheduleHeading3"/>
        <w:tabs>
          <w:tab w:val="left" w:pos="1134"/>
        </w:tabs>
        <w:ind w:left="1134" w:hanging="425"/>
        <w:jc w:val="both"/>
        <w:rPr>
          <w:rFonts w:asciiTheme="minorHAnsi" w:hAnsiTheme="minorHAnsi"/>
          <w:sz w:val="22"/>
          <w:szCs w:val="22"/>
        </w:rPr>
      </w:pPr>
      <w:r w:rsidRPr="004228E4">
        <w:rPr>
          <w:rFonts w:asciiTheme="minorHAnsi" w:hAnsiTheme="minorHAnsi"/>
          <w:sz w:val="22"/>
          <w:szCs w:val="22"/>
        </w:rPr>
        <w:t xml:space="preserve">informing and advising the Council and its staff of their obligations in the GDPR and other data protection laws; </w:t>
      </w:r>
    </w:p>
    <w:p w14:paraId="21AD8E87" w14:textId="77777777" w:rsidR="00695EE1" w:rsidRPr="004228E4" w:rsidRDefault="00695EE1" w:rsidP="00695EE1">
      <w:pPr>
        <w:pStyle w:val="ScheduleHeading3"/>
        <w:tabs>
          <w:tab w:val="left" w:pos="1134"/>
        </w:tabs>
        <w:ind w:left="1134" w:hanging="425"/>
        <w:jc w:val="both"/>
        <w:rPr>
          <w:rFonts w:asciiTheme="minorHAnsi" w:hAnsiTheme="minorHAnsi"/>
          <w:sz w:val="22"/>
          <w:szCs w:val="22"/>
        </w:rPr>
      </w:pPr>
      <w:r w:rsidRPr="004228E4">
        <w:rPr>
          <w:rFonts w:asciiTheme="minorHAnsi" w:hAnsiTheme="minorHAnsi"/>
          <w:sz w:val="22"/>
          <w:szCs w:val="22"/>
        </w:rPr>
        <w:t>monitoring compliance of the Council, both its practices and policies, with the GDPR and other data protection laws;</w:t>
      </w:r>
    </w:p>
    <w:p w14:paraId="1A41A51D" w14:textId="77777777" w:rsidR="00695EE1" w:rsidRPr="004228E4" w:rsidRDefault="00695EE1" w:rsidP="00695EE1">
      <w:pPr>
        <w:pStyle w:val="ScheduleHeading3"/>
        <w:tabs>
          <w:tab w:val="left" w:pos="1134"/>
        </w:tabs>
        <w:ind w:left="1134" w:hanging="425"/>
        <w:jc w:val="both"/>
        <w:rPr>
          <w:rFonts w:asciiTheme="minorHAnsi" w:hAnsiTheme="minorHAnsi"/>
          <w:sz w:val="22"/>
          <w:szCs w:val="22"/>
        </w:rPr>
      </w:pPr>
      <w:r w:rsidRPr="004228E4">
        <w:rPr>
          <w:rFonts w:asciiTheme="minorHAnsi" w:hAnsiTheme="minorHAnsi"/>
          <w:sz w:val="22"/>
          <w:szCs w:val="22"/>
        </w:rPr>
        <w:t xml:space="preserve">raising awareness  of data protection law; providing relevant training to staff and Councillors; </w:t>
      </w:r>
    </w:p>
    <w:p w14:paraId="63681BBB" w14:textId="77777777" w:rsidR="00695EE1" w:rsidRPr="004228E4" w:rsidRDefault="00695EE1" w:rsidP="00695EE1">
      <w:pPr>
        <w:pStyle w:val="ScheduleHeading3"/>
        <w:tabs>
          <w:tab w:val="left" w:pos="1134"/>
        </w:tabs>
        <w:ind w:left="1134" w:hanging="425"/>
        <w:jc w:val="both"/>
        <w:rPr>
          <w:rFonts w:asciiTheme="minorHAnsi" w:hAnsiTheme="minorHAnsi"/>
          <w:sz w:val="22"/>
          <w:szCs w:val="22"/>
        </w:rPr>
      </w:pPr>
      <w:r w:rsidRPr="004228E4">
        <w:rPr>
          <w:rFonts w:asciiTheme="minorHAnsi" w:hAnsiTheme="minorHAnsi"/>
          <w:sz w:val="22"/>
          <w:szCs w:val="22"/>
        </w:rPr>
        <w:t xml:space="preserve">carrying out data protection-related audits; </w:t>
      </w:r>
    </w:p>
    <w:p w14:paraId="2BFCB8BD" w14:textId="77777777" w:rsidR="00695EE1" w:rsidRPr="004228E4" w:rsidRDefault="00695EE1" w:rsidP="00695EE1">
      <w:pPr>
        <w:pStyle w:val="ScheduleHeading3"/>
        <w:tabs>
          <w:tab w:val="left" w:pos="1134"/>
        </w:tabs>
        <w:ind w:left="1134" w:hanging="425"/>
        <w:jc w:val="both"/>
        <w:rPr>
          <w:rFonts w:asciiTheme="minorHAnsi" w:hAnsiTheme="minorHAnsi"/>
          <w:sz w:val="22"/>
          <w:szCs w:val="22"/>
        </w:rPr>
      </w:pPr>
      <w:r w:rsidRPr="004228E4">
        <w:rPr>
          <w:rFonts w:asciiTheme="minorHAnsi" w:hAnsiTheme="minorHAnsi"/>
          <w:sz w:val="22"/>
          <w:szCs w:val="22"/>
        </w:rPr>
        <w:t xml:space="preserve">providing advice to the Council, where requested, in relation to the carrying out of data protection impact assessments (‘DPIAs’) and the Council’s wider obligations with regard to DPIAs; and </w:t>
      </w:r>
    </w:p>
    <w:p w14:paraId="19480267" w14:textId="77777777" w:rsidR="00695EE1" w:rsidRPr="004228E4" w:rsidRDefault="00695EE1" w:rsidP="00695EE1">
      <w:pPr>
        <w:pStyle w:val="ScheduleHeading3"/>
        <w:tabs>
          <w:tab w:val="left" w:pos="1134"/>
        </w:tabs>
        <w:ind w:left="1134" w:hanging="425"/>
        <w:jc w:val="both"/>
        <w:rPr>
          <w:rFonts w:asciiTheme="minorHAnsi" w:hAnsiTheme="minorHAnsi"/>
          <w:sz w:val="22"/>
          <w:szCs w:val="22"/>
        </w:rPr>
      </w:pPr>
      <w:r w:rsidRPr="004228E4">
        <w:rPr>
          <w:rFonts w:asciiTheme="minorHAnsi" w:hAnsiTheme="minorHAnsi"/>
          <w:sz w:val="22"/>
          <w:szCs w:val="22"/>
        </w:rPr>
        <w:t>acting as a contact point for the Information Commissioner’s Office.</w:t>
      </w:r>
    </w:p>
    <w:p w14:paraId="7A90F7CA"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As part of these duties to monitor compliance, DPOs may, in particular:</w:t>
      </w:r>
    </w:p>
    <w:p w14:paraId="267F0070" w14:textId="77777777" w:rsidR="00695EE1" w:rsidRPr="004228E4" w:rsidRDefault="00695EE1" w:rsidP="00695EE1">
      <w:pPr>
        <w:pStyle w:val="ScheduleHeading3"/>
        <w:tabs>
          <w:tab w:val="left" w:pos="709"/>
          <w:tab w:val="left" w:pos="1134"/>
        </w:tabs>
        <w:ind w:left="709" w:firstLine="0"/>
        <w:jc w:val="both"/>
        <w:rPr>
          <w:rFonts w:asciiTheme="minorHAnsi" w:hAnsiTheme="minorHAnsi"/>
          <w:sz w:val="22"/>
          <w:szCs w:val="22"/>
        </w:rPr>
      </w:pPr>
      <w:r w:rsidRPr="004228E4">
        <w:rPr>
          <w:rFonts w:asciiTheme="minorHAnsi" w:hAnsiTheme="minorHAnsi"/>
          <w:sz w:val="22"/>
          <w:szCs w:val="22"/>
        </w:rPr>
        <w:t>collect information to identify processing activities;</w:t>
      </w:r>
    </w:p>
    <w:p w14:paraId="71408C7F" w14:textId="77777777" w:rsidR="00695EE1" w:rsidRPr="004228E4" w:rsidRDefault="00695EE1" w:rsidP="00695EE1">
      <w:pPr>
        <w:pStyle w:val="ScheduleHeading3"/>
        <w:tabs>
          <w:tab w:val="left" w:pos="709"/>
          <w:tab w:val="left" w:pos="1134"/>
        </w:tabs>
        <w:ind w:left="709" w:firstLine="0"/>
        <w:jc w:val="both"/>
        <w:rPr>
          <w:rFonts w:asciiTheme="minorHAnsi" w:hAnsiTheme="minorHAnsi"/>
          <w:sz w:val="22"/>
          <w:szCs w:val="22"/>
        </w:rPr>
      </w:pPr>
      <w:r w:rsidRPr="004228E4">
        <w:rPr>
          <w:rFonts w:asciiTheme="minorHAnsi" w:hAnsiTheme="minorHAnsi"/>
          <w:sz w:val="22"/>
          <w:szCs w:val="22"/>
        </w:rPr>
        <w:t>analyse and check the compliance of processing activities;  and</w:t>
      </w:r>
    </w:p>
    <w:p w14:paraId="545ACCBC" w14:textId="77777777" w:rsidR="00695EE1" w:rsidRPr="004228E4" w:rsidRDefault="00695EE1" w:rsidP="00695EE1">
      <w:pPr>
        <w:pStyle w:val="ScheduleHeading3"/>
        <w:tabs>
          <w:tab w:val="left" w:pos="709"/>
          <w:tab w:val="left" w:pos="1134"/>
        </w:tabs>
        <w:ind w:left="709" w:firstLine="0"/>
        <w:jc w:val="both"/>
        <w:rPr>
          <w:rFonts w:asciiTheme="minorHAnsi" w:hAnsiTheme="minorHAnsi"/>
          <w:sz w:val="22"/>
          <w:szCs w:val="22"/>
        </w:rPr>
      </w:pPr>
      <w:r w:rsidRPr="004228E4">
        <w:rPr>
          <w:rFonts w:asciiTheme="minorHAnsi" w:hAnsiTheme="minorHAnsi"/>
          <w:sz w:val="22"/>
          <w:szCs w:val="22"/>
        </w:rPr>
        <w:lastRenderedPageBreak/>
        <w:t>inform, advise and issue recommendations to the controller or the  processor</w:t>
      </w:r>
    </w:p>
    <w:p w14:paraId="3A6D3804"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Monitoring of compliance does not mean that it is the DPO is personally responsible where there is an instance of non-compliance.  The GDPR makes it clear that it is the controller, not the DPO, who is required to ‘implement appropriate technical and organisational measures to ensure and to be able to demonstrate that processing is performed in accordance with this Regulation.’</w:t>
      </w:r>
    </w:p>
    <w:p w14:paraId="0B0AC4A1"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The appointed DPO must at all times have regard to ‘the risk associated with the processing operations, taking into account the nature, scope, context and purposes of processing.’ This is an overarching obligation which means that the role of the DPO will vary in proportion to the risks to the rights of individuals affected by the Council’s processing of personal data.</w:t>
      </w:r>
    </w:p>
    <w:p w14:paraId="3725F96E"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 xml:space="preserve">The DPO should ‘cooperate with the supervisory authority’(in the UK, this is the </w:t>
      </w:r>
      <w:r w:rsidRPr="004228E4">
        <w:rPr>
          <w:rStyle w:val="Bodytext2"/>
          <w:rFonts w:asciiTheme="minorHAnsi" w:hAnsiTheme="minorHAnsi" w:cs="Arial Black"/>
          <w:color w:val="auto"/>
          <w:sz w:val="22"/>
          <w:szCs w:val="22"/>
        </w:rPr>
        <w:t>Information Commissioners Office (‘</w:t>
      </w:r>
      <w:r w:rsidRPr="004228E4">
        <w:rPr>
          <w:rFonts w:asciiTheme="minorHAnsi" w:hAnsiTheme="minorHAnsi"/>
          <w:sz w:val="22"/>
          <w:szCs w:val="22"/>
        </w:rPr>
        <w:t>ICO’) and ‘act as a contact point for the supervisory authority on issues relating to processing, and to consult, where appropriate, with regard to any other matter’.</w:t>
      </w:r>
    </w:p>
    <w:p w14:paraId="46DEB97E"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It is the controller or the processor, not the DPO, who is required to ‘maintain a record of processing operations under its responsibility’ or ‘maintain a record of all categories of processing activities carried out on behalf of a controller’.</w:t>
      </w:r>
    </w:p>
    <w:p w14:paraId="697EEA04" w14:textId="77777777" w:rsidR="00695EE1" w:rsidRPr="004228E4" w:rsidRDefault="00695EE1" w:rsidP="00695EE1">
      <w:pPr>
        <w:spacing w:after="120"/>
        <w:ind w:left="0" w:firstLine="0"/>
        <w:rPr>
          <w:sz w:val="22"/>
          <w:szCs w:val="22"/>
        </w:rPr>
      </w:pPr>
    </w:p>
    <w:p w14:paraId="44E49416" w14:textId="77777777" w:rsidR="00695EE1" w:rsidRPr="004228E4" w:rsidRDefault="00695EE1" w:rsidP="004228E4">
      <w:pPr>
        <w:pStyle w:val="ScheduleHeading1"/>
        <w:pBdr>
          <w:top w:val="single" w:sz="4" w:space="1" w:color="auto"/>
          <w:left w:val="single" w:sz="4" w:space="4" w:color="auto"/>
          <w:bottom w:val="single" w:sz="4" w:space="1" w:color="auto"/>
          <w:right w:val="single" w:sz="4" w:space="4" w:color="auto"/>
        </w:pBdr>
        <w:shd w:val="clear" w:color="auto" w:fill="FFFFDD"/>
        <w:tabs>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 xml:space="preserve">DPOs </w:t>
      </w:r>
      <w:r w:rsidR="004228E4">
        <w:rPr>
          <w:rFonts w:asciiTheme="minorHAnsi" w:hAnsiTheme="minorHAnsi"/>
          <w:sz w:val="22"/>
          <w:szCs w:val="22"/>
        </w:rPr>
        <w:t>a</w:t>
      </w:r>
      <w:r w:rsidR="004228E4" w:rsidRPr="004228E4">
        <w:rPr>
          <w:rFonts w:asciiTheme="minorHAnsi" w:hAnsiTheme="minorHAnsi"/>
          <w:sz w:val="22"/>
          <w:szCs w:val="22"/>
        </w:rPr>
        <w:t xml:space="preserve">nd </w:t>
      </w:r>
      <w:r w:rsidRPr="004228E4">
        <w:rPr>
          <w:rFonts w:asciiTheme="minorHAnsi" w:hAnsiTheme="minorHAnsi"/>
          <w:sz w:val="22"/>
          <w:szCs w:val="22"/>
        </w:rPr>
        <w:t>DPIAs</w:t>
      </w:r>
    </w:p>
    <w:p w14:paraId="1011FAC5"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A data controller (and not the DPO) is required to carry out a data protection impact assessment (‘DPIA’) under the GDPR in certain circumstances.</w:t>
      </w:r>
    </w:p>
    <w:p w14:paraId="1CCE04D3"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The controller must ‘seek advice’ from the DPO when carrying out a DPIA. DPOs have the duty to ‘provide advice where requested as regards the DPIA and monitor its performance’.</w:t>
      </w:r>
    </w:p>
    <w:p w14:paraId="269BE167"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It is recommended that controllers should seek the advice of the DPO on the following issues:</w:t>
      </w:r>
    </w:p>
    <w:p w14:paraId="45230296" w14:textId="77777777" w:rsidR="00695EE1" w:rsidRPr="004228E4" w:rsidRDefault="00695EE1" w:rsidP="00695EE1">
      <w:pPr>
        <w:pStyle w:val="ScheduleHeading3"/>
        <w:tabs>
          <w:tab w:val="left" w:pos="1134"/>
        </w:tabs>
        <w:ind w:left="1134" w:hanging="425"/>
        <w:jc w:val="both"/>
        <w:rPr>
          <w:rFonts w:asciiTheme="minorHAnsi" w:hAnsiTheme="minorHAnsi"/>
          <w:sz w:val="22"/>
          <w:szCs w:val="22"/>
        </w:rPr>
      </w:pPr>
      <w:r w:rsidRPr="004228E4">
        <w:rPr>
          <w:rFonts w:asciiTheme="minorHAnsi" w:hAnsiTheme="minorHAnsi"/>
          <w:sz w:val="22"/>
          <w:szCs w:val="22"/>
        </w:rPr>
        <w:t>Whether or not to carry out a DPIA;</w:t>
      </w:r>
    </w:p>
    <w:p w14:paraId="6B2709FC" w14:textId="77777777" w:rsidR="00695EE1" w:rsidRPr="004228E4" w:rsidRDefault="00695EE1" w:rsidP="00695EE1">
      <w:pPr>
        <w:pStyle w:val="ScheduleHeading3"/>
        <w:tabs>
          <w:tab w:val="left" w:pos="1134"/>
        </w:tabs>
        <w:ind w:left="1134" w:hanging="425"/>
        <w:jc w:val="both"/>
        <w:rPr>
          <w:rFonts w:asciiTheme="minorHAnsi" w:hAnsiTheme="minorHAnsi"/>
          <w:sz w:val="22"/>
          <w:szCs w:val="22"/>
        </w:rPr>
      </w:pPr>
      <w:r w:rsidRPr="004228E4">
        <w:rPr>
          <w:rFonts w:asciiTheme="minorHAnsi" w:hAnsiTheme="minorHAnsi"/>
          <w:sz w:val="22"/>
          <w:szCs w:val="22"/>
        </w:rPr>
        <w:t>What methodology to follow when carrying out a DPIA;</w:t>
      </w:r>
    </w:p>
    <w:p w14:paraId="53B6EC0D" w14:textId="77777777" w:rsidR="00695EE1" w:rsidRPr="004228E4" w:rsidRDefault="00695EE1" w:rsidP="00695EE1">
      <w:pPr>
        <w:pStyle w:val="ScheduleHeading3"/>
        <w:tabs>
          <w:tab w:val="left" w:pos="1134"/>
        </w:tabs>
        <w:ind w:left="1134" w:hanging="425"/>
        <w:jc w:val="both"/>
        <w:rPr>
          <w:rFonts w:asciiTheme="minorHAnsi" w:hAnsiTheme="minorHAnsi"/>
          <w:sz w:val="22"/>
          <w:szCs w:val="22"/>
        </w:rPr>
      </w:pPr>
      <w:r w:rsidRPr="004228E4">
        <w:rPr>
          <w:rFonts w:asciiTheme="minorHAnsi" w:hAnsiTheme="minorHAnsi"/>
          <w:sz w:val="22"/>
          <w:szCs w:val="22"/>
        </w:rPr>
        <w:t>Whether to carry out the DPIA in-house or whether to outsource what it safeguards (including technical and organisational measures) to apply to mitigate any risks to the rights and interests of the data  subjects; and</w:t>
      </w:r>
    </w:p>
    <w:p w14:paraId="2B8A90F5" w14:textId="77777777" w:rsidR="00695EE1" w:rsidRPr="004228E4" w:rsidRDefault="00695EE1" w:rsidP="00695EE1">
      <w:pPr>
        <w:pStyle w:val="ScheduleHeading3"/>
        <w:tabs>
          <w:tab w:val="left" w:pos="1134"/>
        </w:tabs>
        <w:ind w:left="1134" w:hanging="425"/>
        <w:jc w:val="both"/>
        <w:rPr>
          <w:rFonts w:asciiTheme="minorHAnsi" w:hAnsiTheme="minorHAnsi"/>
          <w:sz w:val="22"/>
          <w:szCs w:val="22"/>
        </w:rPr>
      </w:pPr>
      <w:r w:rsidRPr="004228E4">
        <w:rPr>
          <w:rFonts w:asciiTheme="minorHAnsi" w:hAnsiTheme="minorHAnsi"/>
          <w:sz w:val="22"/>
          <w:szCs w:val="22"/>
        </w:rPr>
        <w:t>Whether or not the data protection impact assessment has been correctly carried out and whether its conclusions (whether or not to go ahead with the processing and what safeguards to apply) are in compliance with the GDPR.</w:t>
      </w:r>
    </w:p>
    <w:p w14:paraId="7DE7BF7F"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If the controller disagrees with the advice provided by the DPO, the DPIA documentation should specifically justify in writing why the advice has not been taken into account.</w:t>
      </w:r>
    </w:p>
    <w:p w14:paraId="3EAA69B1" w14:textId="77777777" w:rsidR="00695EE1" w:rsidRPr="004228E4" w:rsidRDefault="00695EE1" w:rsidP="00695EE1">
      <w:pPr>
        <w:pStyle w:val="ScheduleHeading2"/>
        <w:numPr>
          <w:ilvl w:val="0"/>
          <w:numId w:val="0"/>
        </w:numPr>
        <w:tabs>
          <w:tab w:val="left" w:pos="709"/>
        </w:tabs>
        <w:spacing w:line="240" w:lineRule="auto"/>
        <w:jc w:val="both"/>
        <w:rPr>
          <w:rFonts w:asciiTheme="minorHAnsi" w:hAnsiTheme="minorHAnsi"/>
          <w:sz w:val="22"/>
          <w:szCs w:val="22"/>
        </w:rPr>
      </w:pPr>
    </w:p>
    <w:p w14:paraId="2AA57D33" w14:textId="77777777" w:rsidR="00695EE1" w:rsidRPr="004228E4" w:rsidRDefault="00695EE1" w:rsidP="004228E4">
      <w:pPr>
        <w:pStyle w:val="ScheduleHeading1"/>
        <w:pBdr>
          <w:top w:val="single" w:sz="4" w:space="1" w:color="auto"/>
          <w:left w:val="single" w:sz="4" w:space="4" w:color="auto"/>
          <w:bottom w:val="single" w:sz="4" w:space="1" w:color="auto"/>
          <w:right w:val="single" w:sz="4" w:space="4" w:color="auto"/>
        </w:pBdr>
        <w:shd w:val="clear" w:color="auto" w:fill="FFFFDD"/>
        <w:tabs>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 xml:space="preserve">Data </w:t>
      </w:r>
      <w:r w:rsidR="004228E4" w:rsidRPr="004228E4">
        <w:rPr>
          <w:rFonts w:asciiTheme="minorHAnsi" w:hAnsiTheme="minorHAnsi"/>
          <w:sz w:val="22"/>
          <w:szCs w:val="22"/>
        </w:rPr>
        <w:t xml:space="preserve">Controllers </w:t>
      </w:r>
      <w:r w:rsidR="004228E4">
        <w:rPr>
          <w:rFonts w:asciiTheme="minorHAnsi" w:hAnsiTheme="minorHAnsi"/>
          <w:sz w:val="22"/>
          <w:szCs w:val="22"/>
        </w:rPr>
        <w:t>a</w:t>
      </w:r>
      <w:r w:rsidR="004228E4" w:rsidRPr="004228E4">
        <w:rPr>
          <w:rFonts w:asciiTheme="minorHAnsi" w:hAnsiTheme="minorHAnsi"/>
          <w:sz w:val="22"/>
          <w:szCs w:val="22"/>
        </w:rPr>
        <w:t>nd Processors Should Ensure That:</w:t>
      </w:r>
    </w:p>
    <w:p w14:paraId="29C0D576"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 xml:space="preserve">The DPO is invited to participate regularly in meetings of senior and middle management. For Councils, this would include meetings of full Council and relevant committee meetings.      </w:t>
      </w:r>
    </w:p>
    <w:p w14:paraId="65C9D1BA"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The DPO’s name and contact details are provided to ICO;</w:t>
      </w:r>
    </w:p>
    <w:p w14:paraId="0A7FBFD0"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 xml:space="preserve">The DPO should be available to advise/ support Councillors and  relevant staff on data protection issues;  </w:t>
      </w:r>
    </w:p>
    <w:p w14:paraId="61EE4FF9"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The DPO is present when decisions with data protection implications are taken;</w:t>
      </w:r>
    </w:p>
    <w:p w14:paraId="0E7EF341"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All relevant information must be passed on to the DPO in a timely manner in order to allow him or her to provide adequate advice;</w:t>
      </w:r>
    </w:p>
    <w:p w14:paraId="3746B864" w14:textId="77777777" w:rsidR="00695EE1" w:rsidRPr="004228E4"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The opinion of the DPO must always be given due weight.  In case of disagreement it is good practice to document the reasons for not following the DPO’s advice;</w:t>
      </w:r>
    </w:p>
    <w:p w14:paraId="2F1C9B83" w14:textId="77777777" w:rsidR="00695EE1" w:rsidRDefault="00695EE1" w:rsidP="00695EE1">
      <w:pPr>
        <w:pStyle w:val="ScheduleHeading2"/>
        <w:tabs>
          <w:tab w:val="clear" w:pos="720"/>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lastRenderedPageBreak/>
        <w:t>The DPO should be promptly consulted once a data breach or another incident has occurred.  This is good practice since the DPO will often have been involved in implementing data protection polices such as breach reporting and it will be important for the DPO to assess whether the policies work operationally.</w:t>
      </w:r>
    </w:p>
    <w:p w14:paraId="7786B97E" w14:textId="77777777" w:rsidR="00DD5958" w:rsidRPr="004228E4" w:rsidRDefault="00DD5958" w:rsidP="00DD5958">
      <w:pPr>
        <w:pStyle w:val="ScheduleHeading2"/>
        <w:numPr>
          <w:ilvl w:val="0"/>
          <w:numId w:val="0"/>
        </w:numPr>
        <w:tabs>
          <w:tab w:val="left" w:pos="709"/>
        </w:tabs>
        <w:spacing w:line="240" w:lineRule="auto"/>
        <w:jc w:val="both"/>
        <w:rPr>
          <w:rFonts w:asciiTheme="minorHAnsi" w:hAnsiTheme="minorHAnsi"/>
          <w:sz w:val="22"/>
          <w:szCs w:val="22"/>
        </w:rPr>
      </w:pPr>
    </w:p>
    <w:p w14:paraId="06870CDD" w14:textId="77777777" w:rsidR="00695EE1" w:rsidRPr="004228E4" w:rsidRDefault="00695EE1" w:rsidP="004228E4">
      <w:pPr>
        <w:pStyle w:val="ScheduleHeading1"/>
        <w:pBdr>
          <w:top w:val="single" w:sz="4" w:space="1" w:color="auto"/>
          <w:left w:val="single" w:sz="4" w:space="4" w:color="auto"/>
          <w:bottom w:val="single" w:sz="4" w:space="1" w:color="auto"/>
          <w:right w:val="single" w:sz="4" w:space="4" w:color="auto"/>
        </w:pBdr>
        <w:shd w:val="clear" w:color="auto" w:fill="FFFFDD"/>
        <w:tabs>
          <w:tab w:val="left" w:pos="709"/>
        </w:tabs>
        <w:spacing w:line="240" w:lineRule="auto"/>
        <w:ind w:left="0" w:firstLine="0"/>
        <w:jc w:val="both"/>
        <w:rPr>
          <w:rFonts w:asciiTheme="minorHAnsi" w:hAnsiTheme="minorHAnsi"/>
          <w:sz w:val="22"/>
          <w:szCs w:val="22"/>
        </w:rPr>
      </w:pPr>
      <w:r w:rsidRPr="004228E4">
        <w:rPr>
          <w:rFonts w:asciiTheme="minorHAnsi" w:hAnsiTheme="minorHAnsi"/>
          <w:sz w:val="22"/>
          <w:szCs w:val="22"/>
        </w:rPr>
        <w:t>Personal Data Breaches</w:t>
      </w:r>
    </w:p>
    <w:p w14:paraId="060537F4" w14:textId="77777777" w:rsidR="00695EE1" w:rsidRPr="004228E4" w:rsidRDefault="00695EE1" w:rsidP="00695EE1">
      <w:pPr>
        <w:pStyle w:val="TableParagraph"/>
        <w:spacing w:line="240" w:lineRule="auto"/>
        <w:ind w:left="0" w:firstLine="0"/>
        <w:jc w:val="both"/>
        <w:rPr>
          <w:rFonts w:asciiTheme="minorHAnsi" w:eastAsia="Arial Unicode MS" w:hAnsiTheme="minorHAnsi" w:cs="Arial"/>
          <w:sz w:val="22"/>
        </w:rPr>
      </w:pPr>
      <w:r w:rsidRPr="004228E4">
        <w:rPr>
          <w:rFonts w:asciiTheme="minorHAnsi" w:eastAsia="Arial Unicode MS" w:hAnsiTheme="minorHAnsi" w:cs="Arial"/>
          <w:sz w:val="22"/>
        </w:rPr>
        <w:t>A data breach is a breach of security leading to ‘accidental or unlawful destruction, loss, alteration, unauthorised disclosure of, or access to, personal data’.  The GDPR introduces a duty to report certain types of data breaches to the ICO and in some cases to the individuals concerned.</w:t>
      </w:r>
    </w:p>
    <w:p w14:paraId="114051ED" w14:textId="77777777" w:rsidR="00695EE1" w:rsidRPr="004228E4" w:rsidRDefault="00695EE1" w:rsidP="00695EE1">
      <w:pPr>
        <w:pStyle w:val="TableParagraph"/>
        <w:spacing w:line="240" w:lineRule="auto"/>
        <w:ind w:left="0" w:firstLine="0"/>
        <w:jc w:val="both"/>
        <w:rPr>
          <w:rFonts w:asciiTheme="minorHAnsi" w:eastAsia="Arial Unicode MS" w:hAnsiTheme="minorHAnsi" w:cs="Arial"/>
          <w:sz w:val="22"/>
        </w:rPr>
      </w:pPr>
      <w:r w:rsidRPr="004228E4">
        <w:rPr>
          <w:rFonts w:asciiTheme="minorHAnsi" w:eastAsia="Arial Unicode MS" w:hAnsiTheme="minorHAnsi" w:cs="Arial"/>
          <w:sz w:val="22"/>
        </w:rPr>
        <w:t>The Council must demonstrate that it has appropriate security, technical and organisational measures in place to protect against a breach.  If there is no risk of harm to an individual (for example because some low risk data has been inadvertently released or made public such as an email address) then this type of breach would not need to be reported.  Unauthorised access to data that could be used to steal someone’s identity such as their banking data must be reported.</w:t>
      </w:r>
    </w:p>
    <w:p w14:paraId="6B93B31B" w14:textId="77777777" w:rsidR="00695EE1" w:rsidRPr="004228E4" w:rsidRDefault="00695EE1" w:rsidP="00695EE1">
      <w:pPr>
        <w:pStyle w:val="TableParagraph"/>
        <w:numPr>
          <w:ilvl w:val="0"/>
          <w:numId w:val="7"/>
        </w:numPr>
        <w:tabs>
          <w:tab w:val="left" w:pos="567"/>
        </w:tabs>
        <w:spacing w:line="240" w:lineRule="auto"/>
        <w:ind w:left="0" w:firstLine="0"/>
        <w:jc w:val="both"/>
        <w:rPr>
          <w:rFonts w:asciiTheme="minorHAnsi" w:hAnsiTheme="minorHAnsi" w:cs="Arial"/>
          <w:sz w:val="22"/>
        </w:rPr>
      </w:pPr>
      <w:r w:rsidRPr="004228E4">
        <w:rPr>
          <w:rFonts w:asciiTheme="minorHAnsi" w:hAnsiTheme="minorHAnsi" w:cs="Arial"/>
          <w:sz w:val="22"/>
        </w:rPr>
        <w:t xml:space="preserve">The DPO should be involved after the Council becomes aware of a data breach.  </w:t>
      </w:r>
    </w:p>
    <w:p w14:paraId="1C4B13FD" w14:textId="77777777" w:rsidR="00695EE1" w:rsidRPr="004228E4" w:rsidRDefault="00695EE1" w:rsidP="00695EE1">
      <w:pPr>
        <w:pStyle w:val="TableParagraph"/>
        <w:numPr>
          <w:ilvl w:val="0"/>
          <w:numId w:val="7"/>
        </w:numPr>
        <w:tabs>
          <w:tab w:val="left" w:pos="567"/>
        </w:tabs>
        <w:spacing w:line="240" w:lineRule="auto"/>
        <w:ind w:left="0" w:firstLine="0"/>
        <w:jc w:val="both"/>
        <w:rPr>
          <w:rFonts w:asciiTheme="minorHAnsi" w:hAnsiTheme="minorHAnsi" w:cs="Arial"/>
          <w:sz w:val="22"/>
        </w:rPr>
      </w:pPr>
      <w:r w:rsidRPr="004228E4">
        <w:rPr>
          <w:rFonts w:asciiTheme="minorHAnsi" w:hAnsiTheme="minorHAnsi" w:cs="Arial"/>
          <w:sz w:val="22"/>
        </w:rPr>
        <w:t>Councillors, staff, contractors and the Council’s data processors should be briefed on personal data breach avoidance, and on what to do in the event that a breach occurs.</w:t>
      </w:r>
    </w:p>
    <w:p w14:paraId="074A8A16" w14:textId="77777777" w:rsidR="00695EE1" w:rsidRPr="004228E4" w:rsidRDefault="00695EE1" w:rsidP="00695EE1">
      <w:pPr>
        <w:pStyle w:val="TableParagraph"/>
        <w:numPr>
          <w:ilvl w:val="0"/>
          <w:numId w:val="7"/>
        </w:numPr>
        <w:tabs>
          <w:tab w:val="left" w:pos="567"/>
        </w:tabs>
        <w:spacing w:line="240" w:lineRule="auto"/>
        <w:ind w:left="0" w:firstLine="0"/>
        <w:jc w:val="both"/>
        <w:rPr>
          <w:rFonts w:asciiTheme="minorHAnsi" w:hAnsiTheme="minorHAnsi" w:cs="Arial"/>
          <w:sz w:val="22"/>
        </w:rPr>
      </w:pPr>
      <w:r w:rsidRPr="004228E4">
        <w:rPr>
          <w:rFonts w:asciiTheme="minorHAnsi" w:hAnsiTheme="minorHAnsi" w:cs="Arial"/>
          <w:sz w:val="22"/>
        </w:rPr>
        <w:t>Examples of personal data breaches and steps to avoid them include:</w:t>
      </w:r>
    </w:p>
    <w:p w14:paraId="51A011CF" w14:textId="77777777" w:rsidR="00695EE1" w:rsidRPr="004228E4" w:rsidRDefault="00695EE1" w:rsidP="00695EE1">
      <w:pPr>
        <w:pStyle w:val="TableParagraph"/>
        <w:numPr>
          <w:ilvl w:val="1"/>
          <w:numId w:val="8"/>
        </w:numPr>
        <w:spacing w:line="240" w:lineRule="auto"/>
        <w:ind w:left="567" w:hanging="567"/>
        <w:jc w:val="both"/>
        <w:rPr>
          <w:rFonts w:asciiTheme="minorHAnsi" w:hAnsiTheme="minorHAnsi" w:cs="Arial"/>
          <w:sz w:val="22"/>
        </w:rPr>
      </w:pPr>
      <w:r w:rsidRPr="004228E4">
        <w:rPr>
          <w:rFonts w:asciiTheme="minorHAnsi" w:hAnsiTheme="minorHAnsi" w:cs="Arial"/>
          <w:sz w:val="22"/>
        </w:rPr>
        <w:t>Emails and attachments being sent to the wrong person, or several people – it is easy to click the wrong recipient.  Slow down, check thoroughly before clicking ‘send’.</w:t>
      </w:r>
    </w:p>
    <w:p w14:paraId="04D8054C" w14:textId="77777777" w:rsidR="00695EE1" w:rsidRPr="004228E4" w:rsidRDefault="00695EE1" w:rsidP="00695EE1">
      <w:pPr>
        <w:pStyle w:val="TableParagraph"/>
        <w:numPr>
          <w:ilvl w:val="1"/>
          <w:numId w:val="8"/>
        </w:numPr>
        <w:spacing w:line="240" w:lineRule="auto"/>
        <w:ind w:left="567" w:hanging="567"/>
        <w:jc w:val="both"/>
        <w:rPr>
          <w:rFonts w:asciiTheme="minorHAnsi" w:hAnsiTheme="minorHAnsi" w:cs="Arial"/>
          <w:sz w:val="22"/>
        </w:rPr>
      </w:pPr>
      <w:r w:rsidRPr="004228E4">
        <w:rPr>
          <w:rFonts w:asciiTheme="minorHAnsi" w:hAnsiTheme="minorHAnsi" w:cs="Arial"/>
          <w:sz w:val="22"/>
        </w:rPr>
        <w:t>The wrong people being copied into emails and attachments.  Use BCC (Blind Carbon Copy) where necessary.</w:t>
      </w:r>
    </w:p>
    <w:p w14:paraId="6E4FF8F1" w14:textId="77777777" w:rsidR="00695EE1" w:rsidRPr="004228E4" w:rsidRDefault="00695EE1" w:rsidP="00695EE1">
      <w:pPr>
        <w:pStyle w:val="TableParagraph"/>
        <w:numPr>
          <w:ilvl w:val="1"/>
          <w:numId w:val="8"/>
        </w:numPr>
        <w:spacing w:line="240" w:lineRule="auto"/>
        <w:ind w:left="567" w:hanging="567"/>
        <w:jc w:val="both"/>
        <w:rPr>
          <w:rFonts w:asciiTheme="minorHAnsi" w:hAnsiTheme="minorHAnsi" w:cs="Arial"/>
          <w:sz w:val="22"/>
        </w:rPr>
      </w:pPr>
      <w:r w:rsidRPr="004228E4">
        <w:rPr>
          <w:rFonts w:asciiTheme="minorHAnsi" w:hAnsiTheme="minorHAnsi" w:cs="Arial"/>
          <w:sz w:val="22"/>
        </w:rPr>
        <w:t xml:space="preserve">Lost memory sticks which contain unencrypted personal data – the </w:t>
      </w:r>
      <w:r w:rsidRPr="004228E4">
        <w:rPr>
          <w:rFonts w:asciiTheme="minorHAnsi" w:eastAsia="Arial Unicode MS" w:hAnsiTheme="minorHAnsi" w:cs="Arial"/>
          <w:sz w:val="22"/>
        </w:rPr>
        <w:t>Council</w:t>
      </w:r>
      <w:r w:rsidRPr="004228E4">
        <w:rPr>
          <w:rFonts w:asciiTheme="minorHAnsi" w:hAnsiTheme="minorHAnsi" w:cs="Arial"/>
          <w:sz w:val="22"/>
        </w:rPr>
        <w:t xml:space="preserve"> should put protocols in place for memory stick usage.</w:t>
      </w:r>
    </w:p>
    <w:p w14:paraId="0D0E2892" w14:textId="77777777" w:rsidR="00695EE1" w:rsidRPr="004228E4" w:rsidRDefault="00695EE1" w:rsidP="00695EE1">
      <w:pPr>
        <w:pStyle w:val="TableParagraph"/>
        <w:numPr>
          <w:ilvl w:val="1"/>
          <w:numId w:val="8"/>
        </w:numPr>
        <w:spacing w:line="240" w:lineRule="auto"/>
        <w:ind w:left="567" w:hanging="567"/>
        <w:jc w:val="both"/>
        <w:rPr>
          <w:rFonts w:asciiTheme="minorHAnsi" w:hAnsiTheme="minorHAnsi" w:cs="Arial"/>
          <w:sz w:val="22"/>
        </w:rPr>
      </w:pPr>
      <w:r w:rsidRPr="004228E4">
        <w:rPr>
          <w:rFonts w:asciiTheme="minorHAnsi" w:hAnsiTheme="minorHAnsi" w:cs="Arial"/>
          <w:sz w:val="22"/>
        </w:rPr>
        <w:t xml:space="preserve">Malware (IT) attach – ensure up to date anti-virus software is in place. </w:t>
      </w:r>
    </w:p>
    <w:p w14:paraId="7337159E" w14:textId="77777777" w:rsidR="00695EE1" w:rsidRPr="004228E4" w:rsidRDefault="00695EE1" w:rsidP="00695EE1">
      <w:pPr>
        <w:pStyle w:val="TableParagraph"/>
        <w:numPr>
          <w:ilvl w:val="1"/>
          <w:numId w:val="8"/>
        </w:numPr>
        <w:tabs>
          <w:tab w:val="left" w:pos="709"/>
        </w:tabs>
        <w:spacing w:line="240" w:lineRule="auto"/>
        <w:ind w:left="567" w:hanging="567"/>
        <w:jc w:val="both"/>
        <w:rPr>
          <w:rFonts w:asciiTheme="minorHAnsi" w:hAnsiTheme="minorHAnsi"/>
          <w:sz w:val="22"/>
        </w:rPr>
      </w:pPr>
      <w:r w:rsidRPr="004228E4">
        <w:rPr>
          <w:rFonts w:asciiTheme="minorHAnsi" w:hAnsiTheme="minorHAnsi" w:cs="Arial"/>
          <w:sz w:val="22"/>
        </w:rPr>
        <w:t>Equipment theft – check security provisions.</w:t>
      </w:r>
    </w:p>
    <w:p w14:paraId="23455186" w14:textId="77777777" w:rsidR="00695EE1" w:rsidRPr="004228E4" w:rsidRDefault="00695EE1" w:rsidP="00695EE1">
      <w:pPr>
        <w:pStyle w:val="TableParagraph"/>
        <w:numPr>
          <w:ilvl w:val="1"/>
          <w:numId w:val="8"/>
        </w:numPr>
        <w:tabs>
          <w:tab w:val="left" w:pos="709"/>
        </w:tabs>
        <w:spacing w:line="240" w:lineRule="auto"/>
        <w:ind w:left="567" w:hanging="567"/>
        <w:jc w:val="both"/>
        <w:rPr>
          <w:rFonts w:asciiTheme="minorHAnsi" w:hAnsiTheme="minorHAnsi"/>
          <w:sz w:val="22"/>
        </w:rPr>
      </w:pPr>
      <w:r w:rsidRPr="004228E4">
        <w:rPr>
          <w:rFonts w:asciiTheme="minorHAnsi" w:hAnsiTheme="minorHAnsi" w:cs="Arial"/>
          <w:sz w:val="22"/>
        </w:rPr>
        <w:t>Loss of personal data which is unencrypted.</w:t>
      </w:r>
    </w:p>
    <w:p w14:paraId="355556B9" w14:textId="77777777" w:rsidR="00C85B22" w:rsidRPr="004228E4" w:rsidRDefault="00C85B22" w:rsidP="00C85B22">
      <w:pPr>
        <w:pStyle w:val="TableParagraph"/>
        <w:tabs>
          <w:tab w:val="left" w:pos="709"/>
        </w:tabs>
        <w:spacing w:line="240" w:lineRule="auto"/>
        <w:ind w:left="567" w:firstLine="0"/>
        <w:jc w:val="both"/>
        <w:rPr>
          <w:rFonts w:asciiTheme="minorHAnsi" w:hAnsiTheme="minorHAnsi"/>
          <w:sz w:val="22"/>
        </w:rPr>
      </w:pPr>
    </w:p>
    <w:p w14:paraId="25ECD744" w14:textId="77777777" w:rsidR="00695EE1" w:rsidRPr="004228E4" w:rsidRDefault="004228E4" w:rsidP="004228E4">
      <w:pPr>
        <w:pStyle w:val="ScheduleHeading1"/>
        <w:pBdr>
          <w:top w:val="single" w:sz="4" w:space="1" w:color="auto"/>
          <w:left w:val="single" w:sz="4" w:space="4" w:color="auto"/>
          <w:bottom w:val="single" w:sz="4" w:space="1" w:color="auto"/>
          <w:right w:val="single" w:sz="4" w:space="4" w:color="auto"/>
        </w:pBdr>
        <w:shd w:val="clear" w:color="auto" w:fill="FFFFDD"/>
        <w:tabs>
          <w:tab w:val="left" w:pos="709"/>
        </w:tabs>
        <w:spacing w:line="240" w:lineRule="auto"/>
        <w:ind w:left="0" w:firstLine="0"/>
        <w:jc w:val="both"/>
        <w:rPr>
          <w:rFonts w:asciiTheme="minorHAnsi" w:hAnsiTheme="minorHAnsi"/>
          <w:sz w:val="22"/>
          <w:szCs w:val="22"/>
        </w:rPr>
      </w:pPr>
      <w:r>
        <w:rPr>
          <w:rFonts w:asciiTheme="minorHAnsi" w:hAnsiTheme="minorHAnsi"/>
          <w:sz w:val="22"/>
          <w:szCs w:val="22"/>
        </w:rPr>
        <w:t xml:space="preserve">Parish Council’s </w:t>
      </w:r>
      <w:r w:rsidR="00695EE1" w:rsidRPr="004228E4">
        <w:rPr>
          <w:rFonts w:asciiTheme="minorHAnsi" w:hAnsiTheme="minorHAnsi"/>
          <w:sz w:val="22"/>
          <w:szCs w:val="22"/>
        </w:rPr>
        <w:t>Role Checklist</w:t>
      </w:r>
    </w:p>
    <w:p w14:paraId="0A0B204D" w14:textId="77777777" w:rsidR="00141F15" w:rsidRPr="004228E4" w:rsidRDefault="00141F15" w:rsidP="00C85B22">
      <w:pPr>
        <w:tabs>
          <w:tab w:val="left" w:pos="817"/>
        </w:tabs>
        <w:spacing w:after="120"/>
        <w:ind w:left="108"/>
        <w:jc w:val="left"/>
        <w:rPr>
          <w:sz w:val="4"/>
          <w:szCs w:val="16"/>
        </w:rPr>
      </w:pPr>
      <w:r w:rsidRPr="004228E4">
        <w:rPr>
          <w:sz w:val="4"/>
          <w:szCs w:val="16"/>
        </w:rPr>
        <w:tab/>
      </w:r>
    </w:p>
    <w:tbl>
      <w:tblPr>
        <w:tblStyle w:val="TableGrid"/>
        <w:tblW w:w="0" w:type="auto"/>
        <w:tblInd w:w="108" w:type="dxa"/>
        <w:tblLook w:val="04A0" w:firstRow="1" w:lastRow="0" w:firstColumn="1" w:lastColumn="0" w:noHBand="0" w:noVBand="1"/>
      </w:tblPr>
      <w:tblGrid>
        <w:gridCol w:w="709"/>
        <w:gridCol w:w="8930"/>
      </w:tblGrid>
      <w:tr w:rsidR="00695EE1" w:rsidRPr="004228E4" w14:paraId="4C6CA11F" w14:textId="77777777" w:rsidTr="00C85B22">
        <w:trPr>
          <w:trHeight w:val="567"/>
        </w:trPr>
        <w:tc>
          <w:tcPr>
            <w:tcW w:w="709" w:type="dxa"/>
            <w:vAlign w:val="center"/>
          </w:tcPr>
          <w:p w14:paraId="67E2E038" w14:textId="77777777" w:rsidR="00695EE1" w:rsidRPr="004228E4" w:rsidRDefault="00C85B22" w:rsidP="00C85B22">
            <w:pPr>
              <w:tabs>
                <w:tab w:val="left" w:pos="709"/>
              </w:tabs>
              <w:spacing w:before="0" w:after="120"/>
              <w:jc w:val="center"/>
              <w:rPr>
                <w:rFonts w:asciiTheme="minorHAnsi" w:hAnsiTheme="minorHAnsi"/>
                <w:sz w:val="22"/>
                <w:szCs w:val="22"/>
              </w:rPr>
            </w:pPr>
            <w:r w:rsidRPr="004228E4">
              <w:rPr>
                <w:rFonts w:asciiTheme="minorHAnsi" w:hAnsiTheme="minorHAnsi"/>
                <w:sz w:val="22"/>
                <w:szCs w:val="22"/>
              </w:rPr>
              <w:sym w:font="Wingdings 2" w:char="F052"/>
            </w:r>
          </w:p>
        </w:tc>
        <w:tc>
          <w:tcPr>
            <w:tcW w:w="8930" w:type="dxa"/>
            <w:vAlign w:val="center"/>
          </w:tcPr>
          <w:p w14:paraId="05C0B1AB" w14:textId="77777777" w:rsidR="00695EE1" w:rsidRPr="004228E4" w:rsidRDefault="00695EE1" w:rsidP="00C85B22">
            <w:pPr>
              <w:tabs>
                <w:tab w:val="left" w:pos="709"/>
              </w:tabs>
              <w:spacing w:before="0" w:after="120"/>
              <w:jc w:val="left"/>
              <w:rPr>
                <w:rFonts w:asciiTheme="minorHAnsi" w:hAnsiTheme="minorHAnsi"/>
                <w:sz w:val="22"/>
                <w:szCs w:val="22"/>
              </w:rPr>
            </w:pPr>
            <w:r w:rsidRPr="004228E4">
              <w:rPr>
                <w:rFonts w:asciiTheme="minorHAnsi" w:hAnsiTheme="minorHAnsi"/>
                <w:sz w:val="22"/>
                <w:szCs w:val="22"/>
              </w:rPr>
              <w:t>Raising data protection awareness within the Council, and advising on GDPR compliance;</w:t>
            </w:r>
          </w:p>
        </w:tc>
      </w:tr>
      <w:tr w:rsidR="00695EE1" w:rsidRPr="004228E4" w14:paraId="52F51802" w14:textId="77777777" w:rsidTr="00C85B22">
        <w:trPr>
          <w:trHeight w:val="567"/>
        </w:trPr>
        <w:tc>
          <w:tcPr>
            <w:tcW w:w="709" w:type="dxa"/>
            <w:vAlign w:val="center"/>
          </w:tcPr>
          <w:p w14:paraId="7E6DFE58" w14:textId="77777777" w:rsidR="00695EE1" w:rsidRPr="004228E4" w:rsidRDefault="00C85B22" w:rsidP="00C85B22">
            <w:pPr>
              <w:tabs>
                <w:tab w:val="left" w:pos="709"/>
              </w:tabs>
              <w:spacing w:before="0" w:after="120"/>
              <w:jc w:val="center"/>
              <w:rPr>
                <w:rFonts w:asciiTheme="minorHAnsi" w:hAnsiTheme="minorHAnsi"/>
                <w:sz w:val="22"/>
                <w:szCs w:val="22"/>
              </w:rPr>
            </w:pPr>
            <w:r w:rsidRPr="004228E4">
              <w:rPr>
                <w:rFonts w:asciiTheme="minorHAnsi" w:hAnsiTheme="minorHAnsi"/>
                <w:sz w:val="22"/>
                <w:szCs w:val="22"/>
              </w:rPr>
              <w:sym w:font="Wingdings 2" w:char="F052"/>
            </w:r>
          </w:p>
        </w:tc>
        <w:tc>
          <w:tcPr>
            <w:tcW w:w="8930" w:type="dxa"/>
            <w:vAlign w:val="center"/>
          </w:tcPr>
          <w:p w14:paraId="5CC37F3C" w14:textId="77777777" w:rsidR="00695EE1" w:rsidRPr="004228E4" w:rsidRDefault="00695EE1" w:rsidP="00C85B22">
            <w:pPr>
              <w:tabs>
                <w:tab w:val="left" w:pos="709"/>
              </w:tabs>
              <w:spacing w:before="0" w:after="120"/>
              <w:jc w:val="left"/>
              <w:rPr>
                <w:rFonts w:asciiTheme="minorHAnsi" w:hAnsiTheme="minorHAnsi"/>
                <w:sz w:val="22"/>
                <w:szCs w:val="22"/>
              </w:rPr>
            </w:pPr>
            <w:r w:rsidRPr="004228E4">
              <w:rPr>
                <w:rFonts w:asciiTheme="minorHAnsi" w:hAnsiTheme="minorHAnsi"/>
                <w:sz w:val="22"/>
                <w:szCs w:val="22"/>
              </w:rPr>
              <w:t>Ensuring the implementation of the appropriate documentation to demonstrate GDPR compliance;</w:t>
            </w:r>
          </w:p>
        </w:tc>
      </w:tr>
      <w:tr w:rsidR="00695EE1" w:rsidRPr="004228E4" w14:paraId="1DF94845" w14:textId="77777777" w:rsidTr="00C85B22">
        <w:trPr>
          <w:trHeight w:val="567"/>
        </w:trPr>
        <w:tc>
          <w:tcPr>
            <w:tcW w:w="709" w:type="dxa"/>
            <w:vAlign w:val="center"/>
          </w:tcPr>
          <w:p w14:paraId="1FA6DE31" w14:textId="77777777" w:rsidR="00695EE1" w:rsidRPr="004228E4" w:rsidRDefault="00C85B22" w:rsidP="00C85B22">
            <w:pPr>
              <w:tabs>
                <w:tab w:val="left" w:pos="709"/>
              </w:tabs>
              <w:spacing w:before="0" w:after="120"/>
              <w:jc w:val="center"/>
              <w:rPr>
                <w:rFonts w:asciiTheme="minorHAnsi" w:hAnsiTheme="minorHAnsi"/>
                <w:sz w:val="22"/>
                <w:szCs w:val="22"/>
              </w:rPr>
            </w:pPr>
            <w:r w:rsidRPr="004228E4">
              <w:rPr>
                <w:rFonts w:asciiTheme="minorHAnsi" w:hAnsiTheme="minorHAnsi"/>
                <w:sz w:val="22"/>
                <w:szCs w:val="22"/>
              </w:rPr>
              <w:sym w:font="Wingdings 2" w:char="F052"/>
            </w:r>
          </w:p>
        </w:tc>
        <w:tc>
          <w:tcPr>
            <w:tcW w:w="8930" w:type="dxa"/>
            <w:vAlign w:val="center"/>
          </w:tcPr>
          <w:p w14:paraId="5FA6D2FE" w14:textId="77777777" w:rsidR="00695EE1" w:rsidRPr="004228E4" w:rsidRDefault="00695EE1" w:rsidP="00C85B22">
            <w:pPr>
              <w:tabs>
                <w:tab w:val="left" w:pos="709"/>
              </w:tabs>
              <w:spacing w:before="0" w:after="120"/>
              <w:jc w:val="left"/>
              <w:rPr>
                <w:rFonts w:asciiTheme="minorHAnsi" w:hAnsiTheme="minorHAnsi"/>
                <w:sz w:val="22"/>
                <w:szCs w:val="22"/>
              </w:rPr>
            </w:pPr>
            <w:r w:rsidRPr="004228E4">
              <w:rPr>
                <w:rFonts w:asciiTheme="minorHAnsi" w:hAnsiTheme="minorHAnsi"/>
                <w:sz w:val="22"/>
                <w:szCs w:val="22"/>
              </w:rPr>
              <w:t>Monitoring the implementation and compliance with policies, procedures and GDPR in general;</w:t>
            </w:r>
          </w:p>
        </w:tc>
      </w:tr>
      <w:tr w:rsidR="00695EE1" w:rsidRPr="004228E4" w14:paraId="63D92EDC" w14:textId="77777777" w:rsidTr="00C85B22">
        <w:trPr>
          <w:trHeight w:val="567"/>
        </w:trPr>
        <w:tc>
          <w:tcPr>
            <w:tcW w:w="709" w:type="dxa"/>
            <w:vAlign w:val="center"/>
          </w:tcPr>
          <w:p w14:paraId="7F564B6A" w14:textId="77777777" w:rsidR="00695EE1" w:rsidRPr="004228E4" w:rsidRDefault="00C85B22" w:rsidP="00C85B22">
            <w:pPr>
              <w:tabs>
                <w:tab w:val="left" w:pos="709"/>
              </w:tabs>
              <w:spacing w:before="0" w:after="120"/>
              <w:jc w:val="center"/>
              <w:rPr>
                <w:rFonts w:asciiTheme="minorHAnsi" w:hAnsiTheme="minorHAnsi"/>
                <w:sz w:val="22"/>
                <w:szCs w:val="22"/>
              </w:rPr>
            </w:pPr>
            <w:r w:rsidRPr="004228E4">
              <w:rPr>
                <w:rFonts w:asciiTheme="minorHAnsi" w:hAnsiTheme="minorHAnsi"/>
                <w:sz w:val="22"/>
                <w:szCs w:val="22"/>
              </w:rPr>
              <w:sym w:font="Wingdings 2" w:char="F052"/>
            </w:r>
          </w:p>
        </w:tc>
        <w:tc>
          <w:tcPr>
            <w:tcW w:w="8930" w:type="dxa"/>
            <w:vAlign w:val="center"/>
          </w:tcPr>
          <w:p w14:paraId="2C98253C" w14:textId="77777777" w:rsidR="00695EE1" w:rsidRPr="004228E4" w:rsidRDefault="00695EE1" w:rsidP="00C85B22">
            <w:pPr>
              <w:tabs>
                <w:tab w:val="left" w:pos="709"/>
              </w:tabs>
              <w:spacing w:before="0" w:after="120"/>
              <w:jc w:val="left"/>
              <w:rPr>
                <w:rFonts w:asciiTheme="minorHAnsi" w:hAnsiTheme="minorHAnsi"/>
                <w:sz w:val="22"/>
                <w:szCs w:val="22"/>
              </w:rPr>
            </w:pPr>
            <w:r w:rsidRPr="004228E4">
              <w:rPr>
                <w:rFonts w:asciiTheme="minorHAnsi" w:hAnsiTheme="minorHAnsi"/>
                <w:sz w:val="22"/>
                <w:szCs w:val="22"/>
              </w:rPr>
              <w:t xml:space="preserve">Involvement in Council’s handling of data breaches, including assisting and advising the Council with its notification to the ICO and data subjects where necessary (but it is the Council which has the obligation to notify in certain circumstances not the DPO);      </w:t>
            </w:r>
          </w:p>
        </w:tc>
      </w:tr>
      <w:tr w:rsidR="00695EE1" w:rsidRPr="004228E4" w14:paraId="1DF83909" w14:textId="77777777" w:rsidTr="00C85B22">
        <w:trPr>
          <w:trHeight w:val="567"/>
        </w:trPr>
        <w:tc>
          <w:tcPr>
            <w:tcW w:w="709" w:type="dxa"/>
            <w:vAlign w:val="center"/>
          </w:tcPr>
          <w:p w14:paraId="1DE79361" w14:textId="77777777" w:rsidR="00695EE1" w:rsidRPr="004228E4" w:rsidRDefault="00C85B22" w:rsidP="00C85B22">
            <w:pPr>
              <w:tabs>
                <w:tab w:val="left" w:pos="709"/>
              </w:tabs>
              <w:spacing w:before="0" w:after="120"/>
              <w:jc w:val="center"/>
              <w:rPr>
                <w:rFonts w:asciiTheme="minorHAnsi" w:hAnsiTheme="minorHAnsi"/>
                <w:sz w:val="22"/>
                <w:szCs w:val="22"/>
              </w:rPr>
            </w:pPr>
            <w:r w:rsidRPr="004228E4">
              <w:rPr>
                <w:rFonts w:asciiTheme="minorHAnsi" w:hAnsiTheme="minorHAnsi"/>
                <w:sz w:val="22"/>
                <w:szCs w:val="22"/>
              </w:rPr>
              <w:sym w:font="Wingdings 2" w:char="F052"/>
            </w:r>
          </w:p>
        </w:tc>
        <w:tc>
          <w:tcPr>
            <w:tcW w:w="8930" w:type="dxa"/>
            <w:vAlign w:val="center"/>
          </w:tcPr>
          <w:p w14:paraId="580DA177" w14:textId="77777777" w:rsidR="00695EE1" w:rsidRPr="004228E4" w:rsidRDefault="00695EE1" w:rsidP="00C85B22">
            <w:pPr>
              <w:tabs>
                <w:tab w:val="left" w:pos="709"/>
              </w:tabs>
              <w:spacing w:before="0" w:after="120"/>
              <w:jc w:val="left"/>
              <w:rPr>
                <w:rFonts w:asciiTheme="minorHAnsi" w:hAnsiTheme="minorHAnsi"/>
                <w:sz w:val="22"/>
                <w:szCs w:val="22"/>
              </w:rPr>
            </w:pPr>
            <w:r w:rsidRPr="004228E4">
              <w:rPr>
                <w:rFonts w:asciiTheme="minorHAnsi" w:hAnsiTheme="minorHAnsi"/>
                <w:sz w:val="22"/>
                <w:szCs w:val="22"/>
              </w:rPr>
              <w:t xml:space="preserve">Liaising with the ICO, the relevant Councillors and  staff  and with the data subjects;   </w:t>
            </w:r>
          </w:p>
        </w:tc>
      </w:tr>
      <w:tr w:rsidR="00695EE1" w:rsidRPr="004228E4" w14:paraId="33DC5B08" w14:textId="77777777" w:rsidTr="00C85B22">
        <w:trPr>
          <w:trHeight w:val="567"/>
        </w:trPr>
        <w:tc>
          <w:tcPr>
            <w:tcW w:w="709" w:type="dxa"/>
            <w:vAlign w:val="center"/>
          </w:tcPr>
          <w:p w14:paraId="56B0C9D6" w14:textId="77777777" w:rsidR="00695EE1" w:rsidRPr="004228E4" w:rsidRDefault="00C85B22" w:rsidP="00C85B22">
            <w:pPr>
              <w:tabs>
                <w:tab w:val="left" w:pos="709"/>
              </w:tabs>
              <w:spacing w:before="0" w:after="120"/>
              <w:jc w:val="center"/>
              <w:rPr>
                <w:rFonts w:asciiTheme="minorHAnsi" w:hAnsiTheme="minorHAnsi"/>
                <w:sz w:val="22"/>
                <w:szCs w:val="22"/>
              </w:rPr>
            </w:pPr>
            <w:r w:rsidRPr="004228E4">
              <w:rPr>
                <w:rFonts w:asciiTheme="minorHAnsi" w:hAnsiTheme="minorHAnsi"/>
                <w:sz w:val="22"/>
                <w:szCs w:val="22"/>
              </w:rPr>
              <w:sym w:font="Wingdings 2" w:char="F052"/>
            </w:r>
          </w:p>
        </w:tc>
        <w:tc>
          <w:tcPr>
            <w:tcW w:w="8930" w:type="dxa"/>
            <w:vAlign w:val="center"/>
          </w:tcPr>
          <w:p w14:paraId="573C0017" w14:textId="77777777" w:rsidR="00695EE1" w:rsidRPr="004228E4" w:rsidRDefault="00695EE1" w:rsidP="00C85B22">
            <w:pPr>
              <w:tabs>
                <w:tab w:val="left" w:pos="709"/>
              </w:tabs>
              <w:spacing w:before="0" w:after="120"/>
              <w:jc w:val="left"/>
              <w:rPr>
                <w:rFonts w:asciiTheme="minorHAnsi" w:hAnsiTheme="minorHAnsi"/>
                <w:sz w:val="22"/>
                <w:szCs w:val="22"/>
              </w:rPr>
            </w:pPr>
            <w:r w:rsidRPr="004228E4">
              <w:rPr>
                <w:rFonts w:asciiTheme="minorHAnsi" w:hAnsiTheme="minorHAnsi"/>
                <w:sz w:val="22"/>
                <w:szCs w:val="22"/>
              </w:rPr>
              <w:t>Monitoring Data Protection Impact Assessments;</w:t>
            </w:r>
          </w:p>
        </w:tc>
      </w:tr>
      <w:tr w:rsidR="00695EE1" w:rsidRPr="004228E4" w14:paraId="273DD0BA" w14:textId="77777777" w:rsidTr="00C85B22">
        <w:trPr>
          <w:trHeight w:val="567"/>
        </w:trPr>
        <w:tc>
          <w:tcPr>
            <w:tcW w:w="709" w:type="dxa"/>
            <w:vAlign w:val="center"/>
          </w:tcPr>
          <w:p w14:paraId="279D123B" w14:textId="77777777" w:rsidR="00695EE1" w:rsidRPr="004228E4" w:rsidRDefault="00C85B22" w:rsidP="00C85B22">
            <w:pPr>
              <w:tabs>
                <w:tab w:val="left" w:pos="709"/>
              </w:tabs>
              <w:spacing w:before="0" w:after="120"/>
              <w:jc w:val="center"/>
              <w:rPr>
                <w:rFonts w:asciiTheme="minorHAnsi" w:hAnsiTheme="minorHAnsi"/>
                <w:sz w:val="22"/>
                <w:szCs w:val="22"/>
              </w:rPr>
            </w:pPr>
            <w:r w:rsidRPr="004228E4">
              <w:rPr>
                <w:rFonts w:asciiTheme="minorHAnsi" w:hAnsiTheme="minorHAnsi"/>
                <w:sz w:val="22"/>
                <w:szCs w:val="22"/>
              </w:rPr>
              <w:sym w:font="Wingdings 2" w:char="F052"/>
            </w:r>
          </w:p>
        </w:tc>
        <w:tc>
          <w:tcPr>
            <w:tcW w:w="8930" w:type="dxa"/>
            <w:vAlign w:val="center"/>
          </w:tcPr>
          <w:p w14:paraId="4FD1307B" w14:textId="77777777" w:rsidR="00695EE1" w:rsidRPr="004228E4" w:rsidRDefault="00695EE1" w:rsidP="00C85B22">
            <w:pPr>
              <w:tabs>
                <w:tab w:val="left" w:pos="709"/>
              </w:tabs>
              <w:spacing w:before="0" w:after="120"/>
              <w:jc w:val="left"/>
              <w:rPr>
                <w:rFonts w:asciiTheme="minorHAnsi" w:hAnsiTheme="minorHAnsi"/>
                <w:sz w:val="22"/>
                <w:szCs w:val="22"/>
              </w:rPr>
            </w:pPr>
            <w:r w:rsidRPr="004228E4">
              <w:rPr>
                <w:rFonts w:asciiTheme="minorHAnsi" w:hAnsiTheme="minorHAnsi"/>
                <w:sz w:val="22"/>
                <w:szCs w:val="22"/>
              </w:rPr>
              <w:t>Cooperating with and acting as the contact point for the ICO on issues relating to processing</w:t>
            </w:r>
          </w:p>
        </w:tc>
      </w:tr>
    </w:tbl>
    <w:p w14:paraId="097D3495" w14:textId="77777777" w:rsidR="00695EE1" w:rsidRPr="004228E4" w:rsidRDefault="00695EE1" w:rsidP="00695EE1">
      <w:pPr>
        <w:spacing w:after="120"/>
        <w:rPr>
          <w:sz w:val="22"/>
          <w:szCs w:val="22"/>
        </w:rPr>
      </w:pPr>
    </w:p>
    <w:sectPr w:rsidR="00695EE1" w:rsidRPr="004228E4" w:rsidSect="00C85B22">
      <w:pgSz w:w="11906" w:h="16838"/>
      <w:pgMar w:top="709" w:right="1134" w:bottom="851"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933"/>
    <w:multiLevelType w:val="multilevel"/>
    <w:tmpl w:val="C6E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E1738"/>
    <w:multiLevelType w:val="multilevel"/>
    <w:tmpl w:val="C436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C31EB"/>
    <w:multiLevelType w:val="hybridMultilevel"/>
    <w:tmpl w:val="8E54D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611786"/>
    <w:multiLevelType w:val="multilevel"/>
    <w:tmpl w:val="2C56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B44F63"/>
    <w:multiLevelType w:val="multilevel"/>
    <w:tmpl w:val="BC8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0035429">
    <w:abstractNumId w:val="1"/>
  </w:num>
  <w:num w:numId="2" w16cid:durableId="1155950589">
    <w:abstractNumId w:val="2"/>
  </w:num>
  <w:num w:numId="3" w16cid:durableId="1264337610">
    <w:abstractNumId w:val="0"/>
  </w:num>
  <w:num w:numId="4" w16cid:durableId="571351111">
    <w:abstractNumId w:val="3"/>
  </w:num>
  <w:num w:numId="5" w16cid:durableId="1231189551">
    <w:abstractNumId w:val="4"/>
  </w:num>
  <w:num w:numId="6" w16cid:durableId="1337270058">
    <w:abstractNumId w:val="5"/>
  </w:num>
  <w:num w:numId="7" w16cid:durableId="823158075">
    <w:abstractNumId w:val="6"/>
  </w:num>
  <w:num w:numId="8" w16cid:durableId="108932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B2F18"/>
    <w:rsid w:val="00017186"/>
    <w:rsid w:val="00093B7C"/>
    <w:rsid w:val="000E2820"/>
    <w:rsid w:val="001169BA"/>
    <w:rsid w:val="00141F15"/>
    <w:rsid w:val="00157DD3"/>
    <w:rsid w:val="0024339F"/>
    <w:rsid w:val="0027558E"/>
    <w:rsid w:val="002B2F18"/>
    <w:rsid w:val="00305789"/>
    <w:rsid w:val="00341321"/>
    <w:rsid w:val="003724EE"/>
    <w:rsid w:val="003817D4"/>
    <w:rsid w:val="00387660"/>
    <w:rsid w:val="004228E4"/>
    <w:rsid w:val="00453B0E"/>
    <w:rsid w:val="00455A77"/>
    <w:rsid w:val="004836B7"/>
    <w:rsid w:val="00530556"/>
    <w:rsid w:val="005D4F99"/>
    <w:rsid w:val="006229B9"/>
    <w:rsid w:val="0065150A"/>
    <w:rsid w:val="00666FEE"/>
    <w:rsid w:val="00695EE1"/>
    <w:rsid w:val="007277D0"/>
    <w:rsid w:val="00733B54"/>
    <w:rsid w:val="0073477D"/>
    <w:rsid w:val="00757955"/>
    <w:rsid w:val="007D0C8F"/>
    <w:rsid w:val="007D4C29"/>
    <w:rsid w:val="0081094A"/>
    <w:rsid w:val="00866F07"/>
    <w:rsid w:val="008A4997"/>
    <w:rsid w:val="008A6E00"/>
    <w:rsid w:val="008C6330"/>
    <w:rsid w:val="0090326E"/>
    <w:rsid w:val="00943CB1"/>
    <w:rsid w:val="009570E2"/>
    <w:rsid w:val="00967327"/>
    <w:rsid w:val="009C7364"/>
    <w:rsid w:val="009D7224"/>
    <w:rsid w:val="009E7588"/>
    <w:rsid w:val="00A36D5D"/>
    <w:rsid w:val="00A513FD"/>
    <w:rsid w:val="00A94284"/>
    <w:rsid w:val="00AE2F74"/>
    <w:rsid w:val="00AF0A8F"/>
    <w:rsid w:val="00B400DE"/>
    <w:rsid w:val="00B465E4"/>
    <w:rsid w:val="00B612E8"/>
    <w:rsid w:val="00BC5F30"/>
    <w:rsid w:val="00BD1677"/>
    <w:rsid w:val="00BD5750"/>
    <w:rsid w:val="00BD75C1"/>
    <w:rsid w:val="00BE102D"/>
    <w:rsid w:val="00C134DC"/>
    <w:rsid w:val="00C15E18"/>
    <w:rsid w:val="00C85B22"/>
    <w:rsid w:val="00CD7576"/>
    <w:rsid w:val="00CF5643"/>
    <w:rsid w:val="00D04A20"/>
    <w:rsid w:val="00D22513"/>
    <w:rsid w:val="00D92799"/>
    <w:rsid w:val="00DD5958"/>
    <w:rsid w:val="00DE063F"/>
    <w:rsid w:val="00E22634"/>
    <w:rsid w:val="00E67B5F"/>
    <w:rsid w:val="00ED73A7"/>
    <w:rsid w:val="00F22F5F"/>
    <w:rsid w:val="00F57466"/>
    <w:rsid w:val="00FA3C8E"/>
    <w:rsid w:val="00FC05B1"/>
    <w:rsid w:val="00FF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1C9BD7"/>
  <w15:docId w15:val="{8AFC5DBA-00BB-48C8-8CB8-8F7C6B4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GB"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18"/>
    <w:rPr>
      <w:lang w:eastAsia="en-GB"/>
    </w:rPr>
  </w:style>
  <w:style w:type="paragraph" w:styleId="Heading1">
    <w:name w:val="heading 1"/>
    <w:basedOn w:val="Normal"/>
    <w:next w:val="Normal"/>
    <w:link w:val="Heading1Char"/>
    <w:uiPriority w:val="9"/>
    <w:qFormat/>
    <w:rsid w:val="00695E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2F18"/>
    <w:pPr>
      <w:spacing w:before="100" w:beforeAutospacing="1" w:after="100" w:afterAutospacing="1"/>
      <w:ind w:left="0" w:firstLine="0"/>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3477D"/>
    <w:rPr>
      <w:rFonts w:eastAsia="Times New Roman"/>
      <w:lang w:val="en-US"/>
    </w:rPr>
  </w:style>
  <w:style w:type="paragraph" w:customStyle="1" w:styleId="Style3">
    <w:name w:val="Style3"/>
    <w:basedOn w:val="Normal"/>
    <w:qFormat/>
    <w:rsid w:val="00FA3C8E"/>
  </w:style>
  <w:style w:type="character" w:customStyle="1" w:styleId="Heading2Char">
    <w:name w:val="Heading 2 Char"/>
    <w:basedOn w:val="DefaultParagraphFont"/>
    <w:link w:val="Heading2"/>
    <w:uiPriority w:val="9"/>
    <w:rsid w:val="002B2F18"/>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2B2F18"/>
    <w:pPr>
      <w:spacing w:before="100" w:beforeAutospacing="1" w:after="100" w:afterAutospacing="1"/>
      <w:ind w:left="0" w:firstLine="0"/>
      <w:jc w:val="left"/>
    </w:pPr>
    <w:rPr>
      <w:rFonts w:ascii="Times New Roman" w:eastAsia="Times New Roman" w:hAnsi="Times New Roman"/>
    </w:rPr>
  </w:style>
  <w:style w:type="paragraph" w:styleId="ListParagraph">
    <w:name w:val="List Paragraph"/>
    <w:basedOn w:val="Normal"/>
    <w:uiPriority w:val="34"/>
    <w:qFormat/>
    <w:rsid w:val="002B2F18"/>
    <w:pPr>
      <w:ind w:left="720"/>
      <w:contextualSpacing/>
    </w:pPr>
  </w:style>
  <w:style w:type="character" w:customStyle="1" w:styleId="Heading1Char">
    <w:name w:val="Heading 1 Char"/>
    <w:basedOn w:val="DefaultParagraphFont"/>
    <w:link w:val="Heading1"/>
    <w:uiPriority w:val="9"/>
    <w:rsid w:val="00695EE1"/>
    <w:rPr>
      <w:rFonts w:asciiTheme="majorHAnsi" w:eastAsiaTheme="majorEastAsia" w:hAnsiTheme="majorHAnsi" w:cstheme="majorBidi"/>
      <w:b/>
      <w:bCs/>
      <w:color w:val="365F91" w:themeColor="accent1" w:themeShade="BF"/>
      <w:sz w:val="28"/>
      <w:szCs w:val="28"/>
      <w:lang w:eastAsia="en-GB"/>
    </w:rPr>
  </w:style>
  <w:style w:type="paragraph" w:customStyle="1" w:styleId="ScheduleHeading1">
    <w:name w:val="Schedule Heading 1"/>
    <w:basedOn w:val="Normal"/>
    <w:next w:val="ScheduleHeading2"/>
    <w:qFormat/>
    <w:rsid w:val="00695EE1"/>
    <w:pPr>
      <w:numPr>
        <w:numId w:val="6"/>
      </w:numPr>
      <w:spacing w:after="120" w:line="200" w:lineRule="exact"/>
      <w:ind w:left="726" w:hanging="726"/>
      <w:jc w:val="left"/>
    </w:pPr>
    <w:rPr>
      <w:rFonts w:ascii="Century Gothic" w:eastAsia="Times New Roman" w:hAnsi="Century Gothic"/>
      <w:b/>
      <w:color w:val="000000" w:themeColor="text1"/>
      <w:sz w:val="18"/>
      <w:szCs w:val="18"/>
    </w:rPr>
  </w:style>
  <w:style w:type="paragraph" w:customStyle="1" w:styleId="ScheduleHeading2">
    <w:name w:val="Schedule Heading 2"/>
    <w:basedOn w:val="Normal"/>
    <w:qFormat/>
    <w:rsid w:val="00695EE1"/>
    <w:pPr>
      <w:numPr>
        <w:ilvl w:val="1"/>
        <w:numId w:val="6"/>
      </w:numPr>
      <w:spacing w:after="120" w:line="240" w:lineRule="exact"/>
      <w:ind w:left="1440" w:hanging="720"/>
      <w:jc w:val="left"/>
    </w:pPr>
    <w:rPr>
      <w:rFonts w:ascii="Century Gothic" w:eastAsia="Times New Roman" w:hAnsi="Century Gothic"/>
      <w:color w:val="000000" w:themeColor="text1"/>
      <w:sz w:val="18"/>
      <w:szCs w:val="18"/>
    </w:rPr>
  </w:style>
  <w:style w:type="paragraph" w:customStyle="1" w:styleId="ScheduleHeading3">
    <w:name w:val="Schedule Heading 3"/>
    <w:basedOn w:val="Normal"/>
    <w:qFormat/>
    <w:rsid w:val="00695EE1"/>
    <w:pPr>
      <w:numPr>
        <w:ilvl w:val="2"/>
        <w:numId w:val="6"/>
      </w:numPr>
      <w:spacing w:after="120"/>
      <w:ind w:left="2160" w:hanging="720"/>
      <w:jc w:val="left"/>
    </w:pPr>
    <w:rPr>
      <w:rFonts w:ascii="Century Gothic" w:eastAsia="Times New Roman" w:hAnsi="Century Gothic"/>
      <w:sz w:val="18"/>
      <w:szCs w:val="18"/>
    </w:rPr>
  </w:style>
  <w:style w:type="paragraph" w:customStyle="1" w:styleId="ScheduleHeading4">
    <w:name w:val="Schedule Heading 4"/>
    <w:basedOn w:val="Normal"/>
    <w:qFormat/>
    <w:rsid w:val="00695EE1"/>
    <w:pPr>
      <w:numPr>
        <w:ilvl w:val="3"/>
        <w:numId w:val="6"/>
      </w:numPr>
      <w:spacing w:after="120" w:line="276" w:lineRule="auto"/>
      <w:jc w:val="left"/>
    </w:pPr>
    <w:rPr>
      <w:rFonts w:ascii="Century Gothic" w:eastAsia="Times New Roman" w:hAnsi="Century Gothic"/>
      <w:sz w:val="20"/>
      <w:szCs w:val="22"/>
    </w:rPr>
  </w:style>
  <w:style w:type="table" w:styleId="TableGrid">
    <w:name w:val="Table Grid"/>
    <w:uiPriority w:val="59"/>
    <w:rsid w:val="00695EE1"/>
    <w:pPr>
      <w:tabs>
        <w:tab w:val="left" w:pos="907"/>
        <w:tab w:val="left" w:pos="1644"/>
        <w:tab w:val="left" w:pos="2381"/>
        <w:tab w:val="left" w:pos="3119"/>
        <w:tab w:val="left" w:pos="3856"/>
        <w:tab w:val="left" w:pos="4593"/>
        <w:tab w:val="left" w:pos="5330"/>
        <w:tab w:val="left" w:pos="6067"/>
      </w:tabs>
      <w:suppressAutoHyphens/>
      <w:spacing w:before="240"/>
      <w:ind w:left="0" w:firstLine="0"/>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duleHeading5">
    <w:name w:val="Schedule Heading 5"/>
    <w:basedOn w:val="Normal"/>
    <w:qFormat/>
    <w:rsid w:val="00695EE1"/>
    <w:pPr>
      <w:numPr>
        <w:ilvl w:val="4"/>
        <w:numId w:val="6"/>
      </w:numPr>
      <w:spacing w:after="120" w:line="276" w:lineRule="auto"/>
      <w:jc w:val="left"/>
    </w:pPr>
    <w:rPr>
      <w:rFonts w:ascii="Century Gothic" w:eastAsia="Times New Roman" w:hAnsi="Century Gothic"/>
      <w:sz w:val="20"/>
      <w:szCs w:val="22"/>
    </w:rPr>
  </w:style>
  <w:style w:type="character" w:customStyle="1" w:styleId="Bodytext2">
    <w:name w:val="Body text (2)"/>
    <w:basedOn w:val="DefaultParagraphFont"/>
    <w:rsid w:val="00695EE1"/>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TableParagraph">
    <w:name w:val="Table Paragraph"/>
    <w:basedOn w:val="Normal"/>
    <w:uiPriority w:val="1"/>
    <w:qFormat/>
    <w:rsid w:val="00695EE1"/>
    <w:pPr>
      <w:spacing w:after="120" w:line="276" w:lineRule="auto"/>
      <w:ind w:left="720" w:hanging="720"/>
      <w:jc w:val="left"/>
    </w:pPr>
    <w:rPr>
      <w:rFonts w:ascii="Century Gothic" w:eastAsia="Times New Roman" w:hAnsi="Century Gothic"/>
      <w:sz w:val="20"/>
      <w:szCs w:val="22"/>
    </w:rPr>
  </w:style>
  <w:style w:type="character" w:styleId="Hyperlink">
    <w:name w:val="Hyperlink"/>
    <w:basedOn w:val="DefaultParagraphFont"/>
    <w:uiPriority w:val="99"/>
    <w:unhideWhenUsed/>
    <w:rsid w:val="004228E4"/>
    <w:rPr>
      <w:color w:val="0000FF" w:themeColor="hyperlink"/>
      <w:u w:val="single"/>
    </w:rPr>
  </w:style>
  <w:style w:type="paragraph" w:styleId="Title">
    <w:name w:val="Title"/>
    <w:basedOn w:val="Normal"/>
    <w:link w:val="TitleChar"/>
    <w:qFormat/>
    <w:rsid w:val="009570E2"/>
    <w:pPr>
      <w:ind w:left="0" w:firstLine="0"/>
      <w:jc w:val="center"/>
    </w:pPr>
    <w:rPr>
      <w:rFonts w:ascii="Arial" w:eastAsia="Times New Roman" w:hAnsi="Arial" w:cs="Arial"/>
      <w:b/>
      <w:bCs/>
      <w:sz w:val="22"/>
      <w:lang w:eastAsia="en-US"/>
    </w:rPr>
  </w:style>
  <w:style w:type="character" w:customStyle="1" w:styleId="TitleChar">
    <w:name w:val="Title Char"/>
    <w:basedOn w:val="DefaultParagraphFont"/>
    <w:link w:val="Title"/>
    <w:rsid w:val="009570E2"/>
    <w:rPr>
      <w:rFonts w:ascii="Arial" w:eastAsia="Times New Roman"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1075">
      <w:bodyDiv w:val="1"/>
      <w:marLeft w:val="0"/>
      <w:marRight w:val="0"/>
      <w:marTop w:val="0"/>
      <w:marBottom w:val="0"/>
      <w:divBdr>
        <w:top w:val="none" w:sz="0" w:space="0" w:color="auto"/>
        <w:left w:val="none" w:sz="0" w:space="0" w:color="auto"/>
        <w:bottom w:val="none" w:sz="0" w:space="0" w:color="auto"/>
        <w:right w:val="none" w:sz="0" w:space="0" w:color="auto"/>
      </w:divBdr>
    </w:div>
    <w:div w:id="2041735458">
      <w:bodyDiv w:val="1"/>
      <w:marLeft w:val="0"/>
      <w:marRight w:val="0"/>
      <w:marTop w:val="0"/>
      <w:marBottom w:val="0"/>
      <w:divBdr>
        <w:top w:val="none" w:sz="0" w:space="0" w:color="auto"/>
        <w:left w:val="none" w:sz="0" w:space="0" w:color="auto"/>
        <w:bottom w:val="none" w:sz="0" w:space="0" w:color="auto"/>
        <w:right w:val="none" w:sz="0" w:space="0" w:color="auto"/>
      </w:divBdr>
      <w:divsChild>
        <w:div w:id="52922393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86610-1E0D-41C7-8B76-62C57725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Sara Porter</cp:lastModifiedBy>
  <cp:revision>8</cp:revision>
  <dcterms:created xsi:type="dcterms:W3CDTF">2018-05-21T12:19:00Z</dcterms:created>
  <dcterms:modified xsi:type="dcterms:W3CDTF">2023-05-05T13:52:00Z</dcterms:modified>
</cp:coreProperties>
</file>